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26FB" w14:textId="58729B4B" w:rsidR="001979BB" w:rsidRPr="00F375BD" w:rsidRDefault="4A508CDC" w:rsidP="002402A5">
      <w:pPr>
        <w:tabs>
          <w:tab w:val="left" w:pos="10080"/>
        </w:tabs>
        <w:spacing w:after="120" w:line="240" w:lineRule="auto"/>
        <w:jc w:val="center"/>
        <w:rPr>
          <w:rFonts w:ascii="Arial" w:hAnsi="Arial"/>
          <w:b/>
          <w:sz w:val="28"/>
        </w:rPr>
      </w:pPr>
      <w:r>
        <w:rPr>
          <w:rFonts w:ascii="Arial" w:hAnsi="Arial"/>
          <w:b/>
          <w:sz w:val="28"/>
        </w:rPr>
        <w:t>Formulaire de demande de transfert de propriété, de cession ou prise à bail ou de fusion</w:t>
      </w:r>
    </w:p>
    <w:p w14:paraId="2BDF2B66" w14:textId="3A5483C7" w:rsidR="001979BB" w:rsidRPr="00F375BD" w:rsidRDefault="001979BB" w:rsidP="002402A5">
      <w:pPr>
        <w:tabs>
          <w:tab w:val="left" w:pos="10080"/>
        </w:tabs>
        <w:spacing w:after="120" w:line="240" w:lineRule="auto"/>
        <w:jc w:val="center"/>
        <w:rPr>
          <w:rFonts w:ascii="Arial" w:hAnsi="Arial"/>
          <w:sz w:val="24"/>
        </w:rPr>
      </w:pPr>
      <w:r>
        <w:rPr>
          <w:rFonts w:ascii="Arial" w:hAnsi="Arial"/>
          <w:sz w:val="24"/>
        </w:rPr>
        <w:t>Aux termes des alinéas 181(1)a) à c) et des articles 69 ou 190</w:t>
      </w:r>
    </w:p>
    <w:p w14:paraId="697FB5FA" w14:textId="26CF7DDE" w:rsidR="001979BB" w:rsidRPr="00F375BD" w:rsidRDefault="001979BB" w:rsidP="002402A5">
      <w:pPr>
        <w:tabs>
          <w:tab w:val="left" w:pos="10080"/>
        </w:tabs>
        <w:spacing w:after="120" w:line="240" w:lineRule="auto"/>
        <w:jc w:val="center"/>
        <w:rPr>
          <w:rFonts w:ascii="Arial" w:hAnsi="Arial"/>
          <w:sz w:val="24"/>
        </w:rPr>
      </w:pPr>
      <w:r>
        <w:rPr>
          <w:rFonts w:ascii="Arial" w:hAnsi="Arial"/>
          <w:sz w:val="24"/>
        </w:rPr>
        <w:t xml:space="preserve">de la </w:t>
      </w:r>
      <w:r>
        <w:rPr>
          <w:rFonts w:ascii="Arial" w:hAnsi="Arial"/>
          <w:i/>
          <w:iCs/>
          <w:sz w:val="24"/>
        </w:rPr>
        <w:t>Loi sur la Régie canadienne de l’énergie</w:t>
      </w:r>
      <w:r>
        <w:rPr>
          <w:rFonts w:ascii="Arial" w:hAnsi="Arial"/>
          <w:i/>
          <w:sz w:val="24"/>
        </w:rPr>
        <w:t xml:space="preserve"> </w:t>
      </w:r>
      <w:bookmarkStart w:id="0" w:name="_GoBack"/>
      <w:bookmarkEnd w:id="0"/>
    </w:p>
    <w:p w14:paraId="63751F5F" w14:textId="2FEDB594" w:rsidR="00886A41" w:rsidRPr="00F375BD" w:rsidRDefault="00886A41" w:rsidP="002402A5">
      <w:pPr>
        <w:pBdr>
          <w:bottom w:val="single" w:sz="6" w:space="1" w:color="auto"/>
        </w:pBdr>
        <w:tabs>
          <w:tab w:val="left" w:pos="10080"/>
        </w:tabs>
        <w:spacing w:after="120" w:line="240" w:lineRule="auto"/>
        <w:rPr>
          <w:rFonts w:ascii="Arial" w:hAnsi="Arial"/>
          <w:b/>
          <w:sz w:val="24"/>
        </w:rPr>
      </w:pPr>
    </w:p>
    <w:p w14:paraId="0B9CAD33" w14:textId="27F39D31" w:rsidR="001979BB" w:rsidRPr="00F375BD" w:rsidRDefault="001979BB" w:rsidP="002402A5">
      <w:pPr>
        <w:tabs>
          <w:tab w:val="left" w:pos="10080"/>
        </w:tabs>
        <w:spacing w:after="120" w:line="240" w:lineRule="auto"/>
        <w:rPr>
          <w:rFonts w:ascii="Arial" w:hAnsi="Arial"/>
          <w:b/>
          <w:sz w:val="24"/>
        </w:rPr>
      </w:pPr>
      <w:r>
        <w:rPr>
          <w:rFonts w:ascii="Arial" w:hAnsi="Arial"/>
          <w:b/>
          <w:sz w:val="24"/>
        </w:rPr>
        <w:t>Quand utiliser le présent formulaire</w:t>
      </w:r>
    </w:p>
    <w:p w14:paraId="033DEA85" w14:textId="0EBE6412" w:rsidR="007F340D" w:rsidRPr="00F375BD" w:rsidRDefault="005F4979" w:rsidP="002402A5">
      <w:pPr>
        <w:tabs>
          <w:tab w:val="left" w:pos="10080"/>
        </w:tabs>
        <w:spacing w:after="120" w:line="240" w:lineRule="auto"/>
        <w:rPr>
          <w:rFonts w:ascii="Arial" w:hAnsi="Arial"/>
        </w:rPr>
      </w:pPr>
      <w:r>
        <w:rPr>
          <w:rFonts w:ascii="Arial" w:hAnsi="Arial"/>
        </w:rPr>
        <w:t>Vous pouvez utiliser ce formulaire dans les cas suivants :</w:t>
      </w:r>
    </w:p>
    <w:p w14:paraId="2991D885" w14:textId="77777777" w:rsidR="00265203" w:rsidRPr="00D62312" w:rsidRDefault="00265203" w:rsidP="002402A5">
      <w:pPr>
        <w:pStyle w:val="NormalWeb"/>
        <w:numPr>
          <w:ilvl w:val="0"/>
          <w:numId w:val="15"/>
        </w:numPr>
        <w:spacing w:before="0" w:beforeAutospacing="0" w:after="120" w:afterAutospacing="0"/>
        <w:rPr>
          <w:rFonts w:ascii="Arial" w:hAnsi="Arial"/>
          <w:sz w:val="22"/>
          <w:szCs w:val="22"/>
        </w:rPr>
      </w:pPr>
      <w:r>
        <w:rPr>
          <w:rFonts w:ascii="Arial" w:hAnsi="Arial"/>
          <w:sz w:val="22"/>
        </w:rPr>
        <w:t xml:space="preserve">si vous transférez, notamment par vente, ou louez à quiconque tout ou partie d’un pipeline ou d’un pipeline abandonné; </w:t>
      </w:r>
    </w:p>
    <w:p w14:paraId="5B2C2EC5" w14:textId="7EE40E01" w:rsidR="00265203" w:rsidRPr="00D62312" w:rsidRDefault="00265203" w:rsidP="002402A5">
      <w:pPr>
        <w:pStyle w:val="NormalWeb"/>
        <w:numPr>
          <w:ilvl w:val="0"/>
          <w:numId w:val="15"/>
        </w:numPr>
        <w:spacing w:before="0" w:beforeAutospacing="0" w:after="120" w:afterAutospacing="0"/>
        <w:rPr>
          <w:rFonts w:ascii="Arial" w:hAnsi="Arial"/>
          <w:sz w:val="22"/>
          <w:szCs w:val="22"/>
        </w:rPr>
      </w:pPr>
      <w:r>
        <w:rPr>
          <w:rFonts w:ascii="Arial" w:hAnsi="Arial"/>
          <w:sz w:val="22"/>
        </w:rPr>
        <w:t>si vous acquérez, notamment par achat, ou louez de quiconque tout ou partie d’un pipeline ou d’un pipeline abandonné;</w:t>
      </w:r>
    </w:p>
    <w:p w14:paraId="490B2E35" w14:textId="28E2680A" w:rsidR="00265203" w:rsidRPr="00D62312" w:rsidRDefault="00501F8E" w:rsidP="002402A5">
      <w:pPr>
        <w:pStyle w:val="NormalWeb"/>
        <w:numPr>
          <w:ilvl w:val="0"/>
          <w:numId w:val="15"/>
        </w:numPr>
        <w:spacing w:before="0" w:beforeAutospacing="0" w:after="120" w:afterAutospacing="0"/>
        <w:rPr>
          <w:rFonts w:ascii="Arial" w:hAnsi="Arial"/>
          <w:sz w:val="22"/>
          <w:szCs w:val="22"/>
        </w:rPr>
      </w:pPr>
      <w:r>
        <w:rPr>
          <w:rFonts w:ascii="Arial" w:hAnsi="Arial"/>
          <w:sz w:val="22"/>
        </w:rPr>
        <w:t xml:space="preserve">si votre société a le droit de construire ou d’exploiter un pipeline ou est propriétaire d’un pipeline abandonné et que vous fusionnez avec une autre société. </w:t>
      </w:r>
    </w:p>
    <w:p w14:paraId="543F078F" w14:textId="51EF46EA" w:rsidR="00B358B6" w:rsidRPr="009515E5" w:rsidRDefault="00EC452A" w:rsidP="002402A5">
      <w:pPr>
        <w:spacing w:after="120" w:line="240" w:lineRule="auto"/>
        <w:rPr>
          <w:rFonts w:ascii="Arial" w:hAnsi="Arial" w:cs="Arial"/>
        </w:rPr>
      </w:pPr>
      <w:r>
        <w:rPr>
          <w:rFonts w:ascii="Arial" w:hAnsi="Arial"/>
        </w:rPr>
        <w:t>Aux termes de l’article 181 de la </w:t>
      </w:r>
      <w:r>
        <w:rPr>
          <w:rFonts w:ascii="Arial" w:hAnsi="Arial"/>
          <w:i/>
          <w:iCs/>
        </w:rPr>
        <w:t>Loi sur la Régie canadienne de l’énergie</w:t>
      </w:r>
      <w:r>
        <w:rPr>
          <w:rFonts w:ascii="Arial" w:hAnsi="Arial"/>
        </w:rPr>
        <w:t xml:space="preserve"> (« LRCE »), une société ne peut, </w:t>
      </w:r>
      <w:r>
        <w:rPr>
          <w:rFonts w:ascii="Arial" w:hAnsi="Arial"/>
          <w:b/>
        </w:rPr>
        <w:t>sans l’autorisation de la Commission</w:t>
      </w:r>
      <w:r>
        <w:rPr>
          <w:rFonts w:ascii="Arial" w:hAnsi="Arial"/>
        </w:rPr>
        <w:t xml:space="preserve">, vendre, transférer, louer, acheter ou acquérir un pipeline ou un pipeline abandonné, ni fusionner avec une autre société. Pour se conformer à l’article 181, il faut obtenir l’approbation de la Commission </w:t>
      </w:r>
      <w:r>
        <w:rPr>
          <w:rFonts w:ascii="Arial" w:hAnsi="Arial"/>
          <w:b/>
        </w:rPr>
        <w:t>avant</w:t>
      </w:r>
      <w:r>
        <w:rPr>
          <w:rFonts w:ascii="Arial" w:hAnsi="Arial"/>
        </w:rPr>
        <w:t xml:space="preserve"> de conclure la transaction proposée. Présentez votre demande bien avant la conclusion prévue de la transaction proposée, car les délais d’évaluation peuvent varier selon la complexité du dossier.</w:t>
      </w:r>
      <w:r w:rsidR="005A6DE3">
        <w:rPr>
          <w:rFonts w:ascii="Arial" w:hAnsi="Arial"/>
        </w:rPr>
        <w:t xml:space="preserve"> </w:t>
      </w:r>
      <w:r w:rsidR="00D7014A">
        <w:rPr>
          <w:rFonts w:ascii="Arial" w:hAnsi="Arial"/>
        </w:rPr>
        <w:t>Dans le cas d’une fusion, la rubrique R du Guide de dépôt de la Régie recommande fortement de présenter une demande d’autorisation de fusion au moins 40 jours avant la date prévue de la transaction.</w:t>
      </w:r>
    </w:p>
    <w:p w14:paraId="21E68F90" w14:textId="6FE7D5C1" w:rsidR="006B6680" w:rsidRPr="00326B9C" w:rsidRDefault="00B60F48" w:rsidP="002402A5">
      <w:pPr>
        <w:tabs>
          <w:tab w:val="left" w:pos="10080"/>
        </w:tabs>
        <w:spacing w:after="120" w:line="240" w:lineRule="auto"/>
        <w:rPr>
          <w:rFonts w:ascii="Arial" w:hAnsi="Arial" w:cs="Arial"/>
        </w:rPr>
      </w:pPr>
      <w:r>
        <w:rPr>
          <w:rFonts w:ascii="Arial" w:hAnsi="Arial"/>
        </w:rPr>
        <w:t>Le demandeur doit fournir les renseignements essentiels décrits dans les exigences de dépôt détaillées. Le défaut de fournir tous les renseignements demandés dans le formulaire pourrait entraîner des retards.</w:t>
      </w:r>
    </w:p>
    <w:p w14:paraId="75B78C64" w14:textId="77777777" w:rsidR="006B6680" w:rsidRPr="00B358B6" w:rsidRDefault="006B6680" w:rsidP="002402A5">
      <w:pPr>
        <w:spacing w:after="120" w:line="240" w:lineRule="auto"/>
        <w:rPr>
          <w:rFonts w:ascii="Arial" w:hAnsi="Arial"/>
        </w:rPr>
      </w:pPr>
    </w:p>
    <w:p w14:paraId="0ED6F5F9" w14:textId="71DD4346" w:rsidR="001979BB" w:rsidRPr="00F375BD" w:rsidRDefault="001979BB" w:rsidP="002402A5">
      <w:pPr>
        <w:pBdr>
          <w:bottom w:val="single" w:sz="6" w:space="1" w:color="auto"/>
        </w:pBdr>
        <w:tabs>
          <w:tab w:val="left" w:pos="10080"/>
        </w:tabs>
        <w:spacing w:after="120" w:line="240" w:lineRule="auto"/>
        <w:rPr>
          <w:rFonts w:ascii="Arial" w:hAnsi="Arial"/>
          <w:b/>
          <w:sz w:val="24"/>
        </w:rPr>
      </w:pPr>
      <w:r>
        <w:rPr>
          <w:rFonts w:ascii="Arial" w:hAnsi="Arial"/>
        </w:rPr>
        <w:t xml:space="preserve"> </w:t>
      </w:r>
      <w:r>
        <w:rPr>
          <w:rFonts w:ascii="Arial" w:hAnsi="Arial"/>
          <w:b/>
          <w:sz w:val="24"/>
        </w:rPr>
        <w:t>Comment utiliser le présent formulaire</w:t>
      </w:r>
    </w:p>
    <w:p w14:paraId="67A29708" w14:textId="77777777" w:rsidR="00BC7A94" w:rsidRPr="00F375BD" w:rsidRDefault="001979BB" w:rsidP="002402A5">
      <w:pPr>
        <w:tabs>
          <w:tab w:val="left" w:pos="10080"/>
        </w:tabs>
        <w:spacing w:after="120" w:line="240" w:lineRule="auto"/>
        <w:rPr>
          <w:rFonts w:ascii="Arial" w:hAnsi="Arial"/>
          <w:sz w:val="24"/>
        </w:rPr>
      </w:pPr>
      <w:r>
        <w:rPr>
          <w:rFonts w:ascii="Arial" w:hAnsi="Arial"/>
          <w:b/>
          <w:sz w:val="24"/>
        </w:rPr>
        <w:t>►  Remplacez les pages 1 et 2 par une lettre d’accompagnement signée par le demandeur</w:t>
      </w:r>
      <w:r>
        <w:rPr>
          <w:rFonts w:ascii="Arial" w:hAnsi="Arial"/>
          <w:sz w:val="24"/>
        </w:rPr>
        <w:t>. ◄</w:t>
      </w:r>
    </w:p>
    <w:p w14:paraId="4C2D483F" w14:textId="3FC0EF21" w:rsidR="001979BB" w:rsidRPr="00F375BD" w:rsidRDefault="001979BB" w:rsidP="002402A5">
      <w:pPr>
        <w:tabs>
          <w:tab w:val="left" w:pos="10080"/>
        </w:tabs>
        <w:spacing w:after="120" w:line="240" w:lineRule="auto"/>
        <w:rPr>
          <w:rFonts w:ascii="Arial" w:hAnsi="Arial"/>
          <w:sz w:val="24"/>
        </w:rPr>
      </w:pPr>
      <w:r>
        <w:rPr>
          <w:rFonts w:ascii="Arial" w:hAnsi="Arial"/>
          <w:b/>
          <w:sz w:val="24"/>
        </w:rPr>
        <w:t xml:space="preserve">►  Remplacez </w:t>
      </w:r>
      <w:r>
        <w:rPr>
          <w:rFonts w:ascii="Arial" w:hAnsi="Arial"/>
          <w:b/>
          <w:color w:val="4472C4" w:themeColor="accent1"/>
          <w:sz w:val="24"/>
        </w:rPr>
        <w:t>le texte en bleu dans le tableau ci-dessous</w:t>
      </w:r>
      <w:r>
        <w:rPr>
          <w:rFonts w:ascii="Arial" w:hAnsi="Arial"/>
          <w:b/>
          <w:sz w:val="24"/>
        </w:rPr>
        <w:t xml:space="preserve"> par vos propres renseignements</w:t>
      </w:r>
      <w:r>
        <w:rPr>
          <w:rFonts w:ascii="Arial" w:hAnsi="Arial"/>
          <w:sz w:val="24"/>
        </w:rPr>
        <w:t>.   ◄</w:t>
      </w:r>
    </w:p>
    <w:p w14:paraId="36E4BBE4" w14:textId="56B66EDE" w:rsidR="001979BB" w:rsidRPr="00F375BD" w:rsidRDefault="001979BB" w:rsidP="002402A5">
      <w:pPr>
        <w:tabs>
          <w:tab w:val="left" w:pos="10080"/>
        </w:tabs>
        <w:spacing w:after="120" w:line="240" w:lineRule="auto"/>
        <w:rPr>
          <w:rFonts w:ascii="Arial" w:hAnsi="Arial"/>
        </w:rPr>
      </w:pPr>
      <w:r>
        <w:rPr>
          <w:rFonts w:ascii="Arial" w:hAnsi="Arial"/>
        </w:rPr>
        <w:t xml:space="preserve">Déposez la demande par voie électronique (c.-à-d. le présent formulaire dûment rempli et tous les documents à l’appui) en suivant les </w:t>
      </w:r>
      <w:hyperlink r:id="rId11" w:history="1">
        <w:r>
          <w:rPr>
            <w:rFonts w:ascii="Arial" w:hAnsi="Arial"/>
            <w:color w:val="0000FF"/>
            <w:u w:val="single"/>
          </w:rPr>
          <w:t>instructions</w:t>
        </w:r>
      </w:hyperlink>
      <w:r>
        <w:rPr>
          <w:rFonts w:ascii="Arial" w:hAnsi="Arial"/>
        </w:rPr>
        <w:t xml:space="preserve"> qui se trouvent dans le site Web de la Régie. Consultez la page </w:t>
      </w:r>
      <w:hyperlink r:id="rId12" w:anchor="s3" w:history="1">
        <w:r>
          <w:rPr>
            <w:rStyle w:val="Hyperlink"/>
            <w:rFonts w:ascii="Arial" w:hAnsi="Arial"/>
          </w:rPr>
          <w:t xml:space="preserve">Dépôt en vertu de la </w:t>
        </w:r>
        <w:r>
          <w:rPr>
            <w:rStyle w:val="Hyperlink"/>
            <w:rFonts w:ascii="Arial" w:hAnsi="Arial"/>
            <w:i/>
            <w:iCs/>
          </w:rPr>
          <w:t>Loi sur la Régie canadienne de l’énergie</w:t>
        </w:r>
      </w:hyperlink>
      <w:r>
        <w:rPr>
          <w:rFonts w:ascii="Arial" w:hAnsi="Arial"/>
          <w:i/>
          <w:iCs/>
        </w:rPr>
        <w:t>.</w:t>
      </w:r>
      <w:r>
        <w:rPr>
          <w:rFonts w:ascii="Arial" w:hAnsi="Arial"/>
        </w:rPr>
        <w:t xml:space="preserve"> </w:t>
      </w:r>
    </w:p>
    <w:p w14:paraId="452DAAD9" w14:textId="1E2BC71D" w:rsidR="001979BB" w:rsidRPr="00F375BD" w:rsidRDefault="001979BB" w:rsidP="002402A5">
      <w:pPr>
        <w:pBdr>
          <w:bottom w:val="single" w:sz="6" w:space="1" w:color="auto"/>
        </w:pBdr>
        <w:tabs>
          <w:tab w:val="left" w:pos="10080"/>
        </w:tabs>
        <w:spacing w:after="120" w:line="240" w:lineRule="auto"/>
        <w:rPr>
          <w:rFonts w:ascii="Arial" w:hAnsi="Arial"/>
          <w:b/>
          <w:sz w:val="24"/>
        </w:rPr>
      </w:pPr>
      <w:r>
        <w:rPr>
          <w:rFonts w:ascii="Arial" w:hAnsi="Arial"/>
          <w:b/>
          <w:sz w:val="24"/>
        </w:rPr>
        <w:t>Pour vous assurer que la demande est complète</w:t>
      </w:r>
    </w:p>
    <w:p w14:paraId="542F91A3" w14:textId="7E42C8AC" w:rsidR="005F3C5A" w:rsidRPr="00F375BD" w:rsidRDefault="001979BB" w:rsidP="002402A5">
      <w:pPr>
        <w:tabs>
          <w:tab w:val="left" w:pos="10080"/>
        </w:tabs>
        <w:spacing w:after="120" w:line="240" w:lineRule="auto"/>
        <w:rPr>
          <w:rFonts w:ascii="Arial" w:hAnsi="Arial"/>
        </w:rPr>
      </w:pPr>
      <w:r>
        <w:rPr>
          <w:rFonts w:ascii="Arial" w:hAnsi="Arial"/>
        </w:rPr>
        <w:t xml:space="preserve">Lisez les instructions – L’information pertinente se trouve dans le </w:t>
      </w:r>
      <w:hyperlink r:id="rId13">
        <w:r>
          <w:rPr>
            <w:rStyle w:val="Hyperlink"/>
            <w:rFonts w:ascii="Arial" w:hAnsi="Arial"/>
          </w:rPr>
          <w:t>Guide de dépôt</w:t>
        </w:r>
      </w:hyperlink>
      <w:r>
        <w:rPr>
          <w:rFonts w:ascii="Arial" w:hAnsi="Arial"/>
        </w:rPr>
        <w:t xml:space="preserve"> en ligne, plus particulièrement au </w:t>
      </w:r>
      <w:hyperlink r:id="rId14">
        <w:r>
          <w:rPr>
            <w:rStyle w:val="Hyperlink"/>
            <w:rFonts w:ascii="Arial" w:hAnsi="Arial"/>
          </w:rPr>
          <w:t>chapitre 3</w:t>
        </w:r>
      </w:hyperlink>
      <w:r>
        <w:rPr>
          <w:rFonts w:ascii="Arial" w:hAnsi="Arial"/>
        </w:rPr>
        <w:t xml:space="preserve"> – Information commune à toutes les demandes, et à la </w:t>
      </w:r>
      <w:hyperlink r:id="rId15">
        <w:r>
          <w:rPr>
            <w:rStyle w:val="Hyperlink"/>
            <w:rFonts w:ascii="Arial" w:hAnsi="Arial"/>
          </w:rPr>
          <w:t>rubrique R</w:t>
        </w:r>
      </w:hyperlink>
      <w:r>
        <w:rPr>
          <w:rFonts w:ascii="Arial" w:hAnsi="Arial"/>
        </w:rPr>
        <w:t xml:space="preserve"> – Transfert de propriété, cession ou prise à bail ou fusion. Remplissez toutes les sections du formulaire de manière aussi complète que possible. Si vous croyez qu’un point ne s’applique pas à votre cas, vous devez en préciser clairement la raison. </w:t>
      </w:r>
    </w:p>
    <w:p w14:paraId="4A1D7828" w14:textId="20FA3ABB" w:rsidR="001979BB" w:rsidRPr="00F375BD" w:rsidRDefault="23FD59E7" w:rsidP="002402A5">
      <w:pPr>
        <w:tabs>
          <w:tab w:val="left" w:pos="10080"/>
        </w:tabs>
        <w:spacing w:after="120" w:line="240" w:lineRule="auto"/>
        <w:rPr>
          <w:rFonts w:ascii="Arial" w:hAnsi="Arial"/>
        </w:rPr>
      </w:pPr>
      <w:r>
        <w:rPr>
          <w:rFonts w:ascii="Arial" w:hAnsi="Arial"/>
        </w:rPr>
        <w:lastRenderedPageBreak/>
        <w:t xml:space="preserve">Organisez une rencontre préalable au dépôt de la demande, au besoin. Le personnel de la Régie peut répondre à vos questions à propos du processus de demande. Pour organiser une rencontre, veuillez communiquer avec le secteur du processus décisionnel par courriel à </w:t>
      </w:r>
      <w:hyperlink r:id="rId16" w:history="1">
        <w:r>
          <w:rPr>
            <w:rStyle w:val="Hyperlink"/>
            <w:rFonts w:ascii="Arial" w:hAnsi="Arial"/>
          </w:rPr>
          <w:t>reglementation.financiere@cer-rec.gc.ca</w:t>
        </w:r>
      </w:hyperlink>
      <w:r>
        <w:t>.</w:t>
      </w:r>
      <w:r>
        <w:rPr>
          <w:rFonts w:ascii="Arial" w:hAnsi="Arial"/>
        </w:rPr>
        <w:t xml:space="preserve"> </w:t>
      </w:r>
    </w:p>
    <w:p w14:paraId="679775C3" w14:textId="3DE05881" w:rsidR="00F419B3" w:rsidRPr="00F375BD" w:rsidRDefault="001979BB" w:rsidP="002402A5">
      <w:pPr>
        <w:spacing w:after="120" w:line="240" w:lineRule="auto"/>
        <w:rPr>
          <w:rFonts w:ascii="Arial" w:hAnsi="Arial"/>
        </w:rPr>
      </w:pPr>
      <w:r>
        <w:rPr>
          <w:rFonts w:ascii="Arial" w:hAnsi="Arial"/>
        </w:rPr>
        <w:t>Formulez des commentaires – Vos commentaires sur ce formulaire sont les bienvenus. Vos suggestions nous aideront à rendre ce formulaire plus clair et plus facile à utiliser. Veuillez transmettre vos commentaires par courriel à</w:t>
      </w:r>
      <w:r>
        <w:t xml:space="preserve"> </w:t>
      </w:r>
      <w:hyperlink r:id="rId17" w:history="1">
        <w:r>
          <w:rPr>
            <w:rStyle w:val="Hyperlink"/>
            <w:rFonts w:ascii="Arial" w:hAnsi="Arial"/>
          </w:rPr>
          <w:t>reglementation.financiere@cer-rec.gc.ca</w:t>
        </w:r>
      </w:hyperlink>
      <w:r>
        <w:t>.</w:t>
      </w:r>
    </w:p>
    <w:p w14:paraId="6B955656" w14:textId="77777777" w:rsidR="00F419B3" w:rsidRDefault="00F419B3" w:rsidP="002402A5">
      <w:pPr>
        <w:spacing w:after="120" w:line="240" w:lineRule="auto"/>
        <w:rPr>
          <w:rFonts w:ascii="Arial" w:eastAsia="Times New Roman" w:hAnsi="Arial" w:cs="Arial"/>
          <w:sz w:val="24"/>
          <w:szCs w:val="24"/>
        </w:rPr>
      </w:pPr>
      <w: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983"/>
        <w:gridCol w:w="7573"/>
      </w:tblGrid>
      <w:tr w:rsidR="003327FD" w:rsidRPr="00391388" w14:paraId="57699237" w14:textId="77777777" w:rsidTr="38139410">
        <w:trPr>
          <w:cantSplit/>
          <w:trHeight w:val="300"/>
        </w:trPr>
        <w:tc>
          <w:tcPr>
            <w:tcW w:w="10201" w:type="dxa"/>
            <w:gridSpan w:val="3"/>
            <w:shd w:val="clear" w:color="auto" w:fill="D9D9D9" w:themeFill="background1" w:themeFillShade="D9"/>
            <w:tcMar>
              <w:top w:w="57" w:type="dxa"/>
              <w:bottom w:w="57" w:type="dxa"/>
            </w:tcMar>
          </w:tcPr>
          <w:p w14:paraId="21C9D7D4" w14:textId="727F7CA6" w:rsidR="001979BB" w:rsidRPr="00F375BD" w:rsidRDefault="001979BB" w:rsidP="002402A5">
            <w:pPr>
              <w:tabs>
                <w:tab w:val="left" w:pos="10080"/>
              </w:tabs>
              <w:spacing w:after="120" w:line="240" w:lineRule="auto"/>
              <w:rPr>
                <w:rFonts w:ascii="Arial" w:hAnsi="Arial"/>
                <w:b/>
              </w:rPr>
            </w:pPr>
            <w:r>
              <w:lastRenderedPageBreak/>
              <w:br w:type="page"/>
            </w:r>
            <w:r>
              <w:br w:type="page"/>
            </w:r>
            <w:r>
              <w:rPr>
                <w:rFonts w:ascii="Arial" w:hAnsi="Arial"/>
                <w:b/>
              </w:rPr>
              <w:t xml:space="preserve">Demandeur et renseignements sur la demande </w:t>
            </w:r>
          </w:p>
        </w:tc>
      </w:tr>
      <w:tr w:rsidR="003327FD" w:rsidRPr="00391388" w14:paraId="05EF1D4C" w14:textId="77777777" w:rsidTr="38139410">
        <w:trPr>
          <w:cantSplit/>
          <w:trHeight w:val="300"/>
        </w:trPr>
        <w:tc>
          <w:tcPr>
            <w:tcW w:w="645" w:type="dxa"/>
            <w:tcMar>
              <w:top w:w="57" w:type="dxa"/>
              <w:bottom w:w="57" w:type="dxa"/>
            </w:tcMar>
          </w:tcPr>
          <w:p w14:paraId="081B3CA6" w14:textId="32522033" w:rsidR="001979BB" w:rsidRPr="00F375BD" w:rsidRDefault="001979BB" w:rsidP="002402A5">
            <w:pPr>
              <w:tabs>
                <w:tab w:val="left" w:pos="10080"/>
              </w:tabs>
              <w:spacing w:after="120" w:line="240" w:lineRule="auto"/>
              <w:rPr>
                <w:rFonts w:ascii="Arial" w:hAnsi="Arial"/>
              </w:rPr>
            </w:pPr>
            <w:r>
              <w:rPr>
                <w:rFonts w:ascii="Arial" w:hAnsi="Arial"/>
              </w:rPr>
              <w:t>1.</w:t>
            </w:r>
          </w:p>
        </w:tc>
        <w:tc>
          <w:tcPr>
            <w:tcW w:w="1983" w:type="dxa"/>
            <w:tcMar>
              <w:top w:w="57" w:type="dxa"/>
              <w:bottom w:w="57" w:type="dxa"/>
            </w:tcMar>
          </w:tcPr>
          <w:p w14:paraId="17F258AA" w14:textId="77777777" w:rsidR="001979BB" w:rsidRPr="00F375BD" w:rsidRDefault="001979BB" w:rsidP="002402A5">
            <w:pPr>
              <w:tabs>
                <w:tab w:val="left" w:pos="10080"/>
              </w:tabs>
              <w:spacing w:after="120" w:line="240" w:lineRule="auto"/>
              <w:rPr>
                <w:rFonts w:ascii="Arial" w:hAnsi="Arial"/>
              </w:rPr>
            </w:pPr>
            <w:r>
              <w:rPr>
                <w:rFonts w:ascii="Arial" w:hAnsi="Arial"/>
              </w:rPr>
              <w:t>Date</w:t>
            </w:r>
          </w:p>
        </w:tc>
        <w:tc>
          <w:tcPr>
            <w:tcW w:w="7573" w:type="dxa"/>
            <w:tcMar>
              <w:top w:w="57" w:type="dxa"/>
              <w:bottom w:w="57" w:type="dxa"/>
            </w:tcMar>
          </w:tcPr>
          <w:p w14:paraId="4740399D" w14:textId="1FDDECCF" w:rsidR="001979BB" w:rsidRPr="00F375BD" w:rsidRDefault="001979BB" w:rsidP="002402A5">
            <w:pPr>
              <w:tabs>
                <w:tab w:val="left" w:pos="10080"/>
              </w:tabs>
              <w:spacing w:after="120" w:line="240" w:lineRule="auto"/>
              <w:rPr>
                <w:rFonts w:ascii="Arial" w:hAnsi="Arial"/>
              </w:rPr>
            </w:pPr>
            <w:r>
              <w:rPr>
                <w:rFonts w:ascii="Arial" w:hAnsi="Arial"/>
                <w:color w:val="4472C4" w:themeColor="accent1"/>
              </w:rPr>
              <w:t xml:space="preserve">Indiquez la date de dépôt de la demande devant la Régie. </w:t>
            </w:r>
          </w:p>
        </w:tc>
      </w:tr>
      <w:tr w:rsidR="003327FD" w:rsidRPr="00391388" w14:paraId="6685941A" w14:textId="77777777" w:rsidTr="38139410">
        <w:trPr>
          <w:cantSplit/>
          <w:trHeight w:val="300"/>
        </w:trPr>
        <w:tc>
          <w:tcPr>
            <w:tcW w:w="645" w:type="dxa"/>
            <w:tcMar>
              <w:top w:w="57" w:type="dxa"/>
              <w:bottom w:w="57" w:type="dxa"/>
            </w:tcMar>
          </w:tcPr>
          <w:p w14:paraId="4143973E" w14:textId="386FF8AC" w:rsidR="001979BB" w:rsidRPr="00F375BD" w:rsidRDefault="001979BB" w:rsidP="002402A5">
            <w:pPr>
              <w:tabs>
                <w:tab w:val="left" w:pos="10080"/>
              </w:tabs>
              <w:spacing w:after="120" w:line="240" w:lineRule="auto"/>
              <w:rPr>
                <w:rFonts w:ascii="Arial" w:hAnsi="Arial"/>
              </w:rPr>
            </w:pPr>
            <w:r>
              <w:rPr>
                <w:rFonts w:ascii="Arial" w:hAnsi="Arial"/>
              </w:rPr>
              <w:t>2.</w:t>
            </w:r>
          </w:p>
        </w:tc>
        <w:tc>
          <w:tcPr>
            <w:tcW w:w="1983" w:type="dxa"/>
            <w:tcMar>
              <w:top w:w="57" w:type="dxa"/>
              <w:bottom w:w="57" w:type="dxa"/>
            </w:tcMar>
          </w:tcPr>
          <w:p w14:paraId="590E0CEC" w14:textId="1FD28875" w:rsidR="001979BB" w:rsidRPr="00F375BD" w:rsidRDefault="001979BB" w:rsidP="002402A5">
            <w:pPr>
              <w:tabs>
                <w:tab w:val="left" w:pos="10080"/>
              </w:tabs>
              <w:spacing w:after="120" w:line="240" w:lineRule="auto"/>
              <w:rPr>
                <w:rFonts w:ascii="Arial" w:hAnsi="Arial"/>
              </w:rPr>
            </w:pPr>
            <w:r>
              <w:rPr>
                <w:rFonts w:ascii="Arial" w:hAnsi="Arial"/>
              </w:rPr>
              <w:t>Demandeur</w:t>
            </w:r>
          </w:p>
        </w:tc>
        <w:tc>
          <w:tcPr>
            <w:tcW w:w="7573" w:type="dxa"/>
            <w:tcMar>
              <w:top w:w="57" w:type="dxa"/>
              <w:bottom w:w="57" w:type="dxa"/>
            </w:tcMar>
          </w:tcPr>
          <w:p w14:paraId="138E8A09" w14:textId="4D34FE1B" w:rsidR="000F4033" w:rsidRDefault="000F4033" w:rsidP="002402A5">
            <w:pPr>
              <w:tabs>
                <w:tab w:val="left" w:pos="10080"/>
              </w:tabs>
              <w:spacing w:after="120" w:line="240" w:lineRule="auto"/>
              <w:rPr>
                <w:rFonts w:ascii="Arial" w:hAnsi="Arial"/>
                <w:color w:val="4472C4" w:themeColor="accent1"/>
              </w:rPr>
            </w:pPr>
            <w:r>
              <w:rPr>
                <w:rFonts w:ascii="Arial" w:hAnsi="Arial"/>
                <w:color w:val="4472C4" w:themeColor="accent1"/>
              </w:rPr>
              <w:t>Indiquez la dénomination sociale complète des demandeurs, ainsi que l’adresse, les numéros de téléphone et de télécopieur et le nom des représentants autorisés.</w:t>
            </w:r>
          </w:p>
          <w:p w14:paraId="4C59DFD0" w14:textId="1AD61527" w:rsidR="00B81CF9" w:rsidRDefault="00541BB2" w:rsidP="002402A5">
            <w:pPr>
              <w:tabs>
                <w:tab w:val="left" w:pos="10080"/>
              </w:tabs>
              <w:spacing w:after="120" w:line="240" w:lineRule="auto"/>
              <w:rPr>
                <w:rFonts w:ascii="Arial" w:hAnsi="Arial"/>
                <w:color w:val="4472C4" w:themeColor="accent1"/>
              </w:rPr>
            </w:pPr>
            <w:r>
              <w:rPr>
                <w:rFonts w:ascii="Arial" w:hAnsi="Arial"/>
                <w:color w:val="4472C4" w:themeColor="accent1"/>
              </w:rPr>
              <w:t>Le vendeur et l’acheteur sont fortement encouragés à présenter une demande conjointement si le pipeline ou le pipeline abandonné relève actuellement de la compétence de la Régie et continuera d’en relever après la transaction proposée.</w:t>
            </w:r>
          </w:p>
          <w:p w14:paraId="4CE82CA2" w14:textId="032A4602" w:rsidR="00733E3F" w:rsidRDefault="00733E3F" w:rsidP="002402A5">
            <w:pPr>
              <w:tabs>
                <w:tab w:val="left" w:pos="10080"/>
              </w:tabs>
              <w:spacing w:after="120" w:line="240" w:lineRule="auto"/>
              <w:rPr>
                <w:rFonts w:ascii="Arial" w:hAnsi="Arial"/>
                <w:color w:val="4472C4" w:themeColor="accent1"/>
              </w:rPr>
            </w:pPr>
            <w:r>
              <w:rPr>
                <w:rFonts w:ascii="Arial" w:hAnsi="Arial"/>
                <w:color w:val="4472C4" w:themeColor="accent1"/>
              </w:rPr>
              <w:t>Si le pipeline commence à relever de la compétence de la Régie, le demandeur est l’acheteur.</w:t>
            </w:r>
          </w:p>
          <w:p w14:paraId="20F8EC24" w14:textId="7A786C68" w:rsidR="00054953" w:rsidRDefault="00054953"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Si le pipeline ou le pipeline abandonné cesse de relever de la compétence de la Régie, le demandeur est le vendeur. </w:t>
            </w:r>
          </w:p>
          <w:p w14:paraId="0B12AD0D" w14:textId="49550C23" w:rsidR="001979BB" w:rsidRPr="00F375BD" w:rsidRDefault="00AD03C6"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Dans le cas d’une fusion, le demandeur est la société dont le pipeline ou le pipeline abandonné est actuellement réglementé par la Régie (ou les deux sociétés, si elles ont chacune un pipeline ou un pipeline abandonné réglementé par la Régie). </w:t>
            </w:r>
          </w:p>
        </w:tc>
      </w:tr>
      <w:tr w:rsidR="003327FD" w:rsidRPr="00391388" w14:paraId="0AA9645D" w14:textId="77777777" w:rsidTr="38139410">
        <w:trPr>
          <w:cantSplit/>
          <w:trHeight w:val="300"/>
        </w:trPr>
        <w:tc>
          <w:tcPr>
            <w:tcW w:w="645" w:type="dxa"/>
            <w:tcMar>
              <w:top w:w="57" w:type="dxa"/>
              <w:bottom w:w="57" w:type="dxa"/>
            </w:tcMar>
          </w:tcPr>
          <w:p w14:paraId="2D8F951E" w14:textId="06C697F6" w:rsidR="001979BB" w:rsidRPr="00F375BD" w:rsidRDefault="001979BB" w:rsidP="002402A5">
            <w:pPr>
              <w:tabs>
                <w:tab w:val="left" w:pos="10080"/>
              </w:tabs>
              <w:spacing w:after="120" w:line="240" w:lineRule="auto"/>
              <w:rPr>
                <w:rFonts w:ascii="Arial" w:hAnsi="Arial"/>
              </w:rPr>
            </w:pPr>
            <w:r>
              <w:rPr>
                <w:rFonts w:ascii="Arial" w:hAnsi="Arial"/>
              </w:rPr>
              <w:t>3.</w:t>
            </w:r>
          </w:p>
        </w:tc>
        <w:tc>
          <w:tcPr>
            <w:tcW w:w="1983" w:type="dxa"/>
            <w:tcMar>
              <w:top w:w="57" w:type="dxa"/>
              <w:bottom w:w="57" w:type="dxa"/>
            </w:tcMar>
          </w:tcPr>
          <w:p w14:paraId="78587A69" w14:textId="77777777" w:rsidR="001979BB" w:rsidRPr="00F375BD" w:rsidRDefault="001979BB" w:rsidP="002402A5">
            <w:pPr>
              <w:tabs>
                <w:tab w:val="left" w:pos="10080"/>
              </w:tabs>
              <w:spacing w:after="120" w:line="240" w:lineRule="auto"/>
              <w:rPr>
                <w:rFonts w:ascii="Arial" w:hAnsi="Arial"/>
              </w:rPr>
            </w:pPr>
            <w:r>
              <w:rPr>
                <w:rFonts w:ascii="Arial" w:hAnsi="Arial"/>
              </w:rPr>
              <w:t>Société autorisée</w:t>
            </w:r>
          </w:p>
        </w:tc>
        <w:tc>
          <w:tcPr>
            <w:tcW w:w="7573" w:type="dxa"/>
            <w:tcMar>
              <w:top w:w="57" w:type="dxa"/>
              <w:bottom w:w="57" w:type="dxa"/>
            </w:tcMar>
          </w:tcPr>
          <w:p w14:paraId="755CF82A" w14:textId="17F00FEF"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Indiquez la dénomination sociale complète de la société autorisée à construire, à exploiter ou à abandonner le pipeline. Cela ne s’applique pas si le pipeline commence à relever de la compétence de la Régie. </w:t>
            </w:r>
          </w:p>
        </w:tc>
      </w:tr>
      <w:tr w:rsidR="003327FD" w:rsidRPr="00391388" w14:paraId="1CDA8B71" w14:textId="77777777" w:rsidTr="38139410">
        <w:trPr>
          <w:cantSplit/>
          <w:trHeight w:val="300"/>
        </w:trPr>
        <w:tc>
          <w:tcPr>
            <w:tcW w:w="645" w:type="dxa"/>
            <w:tcMar>
              <w:top w:w="57" w:type="dxa"/>
              <w:bottom w:w="57" w:type="dxa"/>
            </w:tcMar>
          </w:tcPr>
          <w:p w14:paraId="1F7BF610" w14:textId="19F769C1" w:rsidR="001979BB" w:rsidRPr="00F375BD" w:rsidRDefault="001979BB" w:rsidP="002402A5">
            <w:pPr>
              <w:tabs>
                <w:tab w:val="left" w:pos="10080"/>
              </w:tabs>
              <w:spacing w:after="120" w:line="240" w:lineRule="auto"/>
              <w:rPr>
                <w:rFonts w:ascii="Arial" w:hAnsi="Arial"/>
              </w:rPr>
            </w:pPr>
            <w:r>
              <w:rPr>
                <w:rFonts w:ascii="Arial" w:hAnsi="Arial"/>
              </w:rPr>
              <w:t>4.</w:t>
            </w:r>
          </w:p>
        </w:tc>
        <w:tc>
          <w:tcPr>
            <w:tcW w:w="1983" w:type="dxa"/>
            <w:tcMar>
              <w:top w:w="57" w:type="dxa"/>
              <w:bottom w:w="57" w:type="dxa"/>
            </w:tcMar>
          </w:tcPr>
          <w:p w14:paraId="719B9914" w14:textId="6239679E" w:rsidR="001979BB" w:rsidRPr="00F375BD" w:rsidRDefault="00630157" w:rsidP="002402A5">
            <w:pPr>
              <w:tabs>
                <w:tab w:val="left" w:pos="10080"/>
              </w:tabs>
              <w:spacing w:after="120" w:line="240" w:lineRule="auto"/>
              <w:rPr>
                <w:rFonts w:ascii="Arial" w:hAnsi="Arial"/>
              </w:rPr>
            </w:pPr>
            <w:r>
              <w:rPr>
                <w:rFonts w:ascii="Arial" w:hAnsi="Arial"/>
              </w:rPr>
              <w:t>Instruments de réglementation</w:t>
            </w:r>
          </w:p>
        </w:tc>
        <w:tc>
          <w:tcPr>
            <w:tcW w:w="7573" w:type="dxa"/>
            <w:tcMar>
              <w:top w:w="57" w:type="dxa"/>
              <w:bottom w:w="57" w:type="dxa"/>
            </w:tcMar>
          </w:tcPr>
          <w:p w14:paraId="794C893A" w14:textId="6FA006CF" w:rsidR="001979BB" w:rsidRPr="00F375BD" w:rsidRDefault="00267EA4"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Fournissez des copies des instruments de réglementation (p. ex., certificats, ordonnances et décisions) autorisant la construction et l’exploitation du pipeline, ou la cessation de son exploitation, et tout instrument y afférent (p. ex., ordonnance modificatrice). Le secteur du processus décisionnel de la Régie peut vous aider à recenser les instruments de réglementation appropriés avant le dépôt de la demande. N’incluez pas les instruments de réglementation autorisant des événements ponctuels (p. ex., autorisation de mise en service) pour lesquels il n’y a pas d’effet durable ni de conditions permanentes. </w:t>
            </w:r>
          </w:p>
          <w:p w14:paraId="083964BE" w14:textId="4BE75478"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Si le pipeline n’est actuellement pas réglementé par la Régie, mais qu’il est en voie de le devenir, fournissez des copies de la documentation équivalente produite par l’organisme de réglementation actuel ou, s’il y a lieu, son prédécesseur.</w:t>
            </w:r>
          </w:p>
        </w:tc>
      </w:tr>
      <w:tr w:rsidR="0050230F" w:rsidRPr="00391388" w14:paraId="16969B8A" w14:textId="77777777" w:rsidTr="38139410">
        <w:trPr>
          <w:cantSplit/>
          <w:trHeight w:val="300"/>
        </w:trPr>
        <w:tc>
          <w:tcPr>
            <w:tcW w:w="645" w:type="dxa"/>
            <w:tcMar>
              <w:top w:w="57" w:type="dxa"/>
              <w:bottom w:w="57" w:type="dxa"/>
            </w:tcMar>
          </w:tcPr>
          <w:p w14:paraId="5B4602CC" w14:textId="4F794BD6" w:rsidR="0050230F" w:rsidRPr="00F375BD" w:rsidRDefault="0050230F" w:rsidP="002402A5">
            <w:pPr>
              <w:tabs>
                <w:tab w:val="left" w:pos="10080"/>
              </w:tabs>
              <w:spacing w:after="120" w:line="240" w:lineRule="auto"/>
              <w:rPr>
                <w:rFonts w:ascii="Arial" w:hAnsi="Arial"/>
              </w:rPr>
            </w:pPr>
            <w:r>
              <w:rPr>
                <w:rFonts w:ascii="Arial" w:hAnsi="Arial"/>
              </w:rPr>
              <w:t>5.</w:t>
            </w:r>
          </w:p>
        </w:tc>
        <w:tc>
          <w:tcPr>
            <w:tcW w:w="1983" w:type="dxa"/>
            <w:tcMar>
              <w:top w:w="57" w:type="dxa"/>
              <w:bottom w:w="57" w:type="dxa"/>
            </w:tcMar>
          </w:tcPr>
          <w:p w14:paraId="27E637DC" w14:textId="04A05DEF" w:rsidR="0050230F" w:rsidRPr="00F375BD" w:rsidRDefault="009B0629" w:rsidP="002402A5">
            <w:pPr>
              <w:tabs>
                <w:tab w:val="left" w:pos="10080"/>
              </w:tabs>
              <w:spacing w:after="120" w:line="240" w:lineRule="auto"/>
              <w:rPr>
                <w:rFonts w:ascii="Arial" w:hAnsi="Arial"/>
              </w:rPr>
            </w:pPr>
            <w:r>
              <w:rPr>
                <w:rFonts w:ascii="Arial" w:hAnsi="Arial"/>
              </w:rPr>
              <w:t>Nouveau propriétaire</w:t>
            </w:r>
          </w:p>
        </w:tc>
        <w:tc>
          <w:tcPr>
            <w:tcW w:w="7573" w:type="dxa"/>
            <w:tcMar>
              <w:top w:w="57" w:type="dxa"/>
              <w:bottom w:w="57" w:type="dxa"/>
            </w:tcMar>
          </w:tcPr>
          <w:p w14:paraId="4A428FA5" w14:textId="0265EB9D" w:rsidR="0050230F" w:rsidRDefault="0050230F"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Indiquez la dénomination sociale complète de la société qui propose de prendre possession du pipeline et de l’exploiter, ou encore de prendre possession du pipeline abandonné. Si le propriétaire n’est pas l’exploitant, indiquez la dénomination sociale de ce dernier et décrivez la relation existant entre les deux. </w:t>
            </w:r>
          </w:p>
          <w:p w14:paraId="45F9AE0A" w14:textId="58DE9C1B" w:rsidR="00605026" w:rsidRPr="00F375BD" w:rsidRDefault="00605026" w:rsidP="002402A5">
            <w:pPr>
              <w:tabs>
                <w:tab w:val="left" w:pos="10080"/>
              </w:tabs>
              <w:spacing w:after="120" w:line="240" w:lineRule="auto"/>
              <w:rPr>
                <w:rFonts w:ascii="Arial" w:hAnsi="Arial"/>
                <w:color w:val="4472C4" w:themeColor="accent1"/>
              </w:rPr>
            </w:pPr>
            <w:r>
              <w:rPr>
                <w:rFonts w:ascii="Arial" w:hAnsi="Arial"/>
                <w:color w:val="4472C4" w:themeColor="accent1"/>
              </w:rPr>
              <w:t>Si le pipeline ou le pipeline abandonné cesse de relever de la compétence de la Régie, le vendeur doit indiquer le nom et les coordonnées de l’acheteur.</w:t>
            </w:r>
          </w:p>
        </w:tc>
      </w:tr>
      <w:tr w:rsidR="003327FD" w:rsidRPr="00391388" w14:paraId="015CA390" w14:textId="77777777" w:rsidTr="38139410">
        <w:trPr>
          <w:cantSplit/>
          <w:trHeight w:val="300"/>
        </w:trPr>
        <w:tc>
          <w:tcPr>
            <w:tcW w:w="645" w:type="dxa"/>
            <w:tcMar>
              <w:top w:w="57" w:type="dxa"/>
              <w:bottom w:w="57" w:type="dxa"/>
            </w:tcMar>
          </w:tcPr>
          <w:p w14:paraId="2B5513D9" w14:textId="0A90DF64" w:rsidR="001979BB" w:rsidRPr="00F375BD" w:rsidRDefault="0050230F" w:rsidP="002402A5">
            <w:pPr>
              <w:tabs>
                <w:tab w:val="left" w:pos="10080"/>
              </w:tabs>
              <w:spacing w:after="120" w:line="240" w:lineRule="auto"/>
              <w:rPr>
                <w:rFonts w:ascii="Arial" w:hAnsi="Arial"/>
              </w:rPr>
            </w:pPr>
            <w:r>
              <w:rPr>
                <w:rFonts w:ascii="Arial" w:hAnsi="Arial"/>
              </w:rPr>
              <w:lastRenderedPageBreak/>
              <w:t>6.</w:t>
            </w:r>
          </w:p>
        </w:tc>
        <w:tc>
          <w:tcPr>
            <w:tcW w:w="1983" w:type="dxa"/>
            <w:tcMar>
              <w:top w:w="57" w:type="dxa"/>
              <w:bottom w:w="57" w:type="dxa"/>
            </w:tcMar>
          </w:tcPr>
          <w:p w14:paraId="79E72B4B" w14:textId="196B4B0B" w:rsidR="001979BB" w:rsidRPr="00F375BD" w:rsidRDefault="00DB5403" w:rsidP="002402A5">
            <w:pPr>
              <w:tabs>
                <w:tab w:val="left" w:pos="10080"/>
              </w:tabs>
              <w:spacing w:after="120" w:line="240" w:lineRule="auto"/>
              <w:rPr>
                <w:rFonts w:ascii="Arial" w:hAnsi="Arial"/>
              </w:rPr>
            </w:pPr>
            <w:r>
              <w:rPr>
                <w:rFonts w:ascii="Arial" w:hAnsi="Arial"/>
              </w:rPr>
              <w:t>Dirigeant responsable proposé</w:t>
            </w:r>
          </w:p>
        </w:tc>
        <w:tc>
          <w:tcPr>
            <w:tcW w:w="7573" w:type="dxa"/>
            <w:tcMar>
              <w:top w:w="57" w:type="dxa"/>
              <w:bottom w:w="57" w:type="dxa"/>
            </w:tcMar>
          </w:tcPr>
          <w:p w14:paraId="3474D6AE" w14:textId="464B7575" w:rsidR="001979BB" w:rsidRPr="00F375BD" w:rsidRDefault="00B105E9"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La société doit nommer une personne à titre de dirigeant responsable qui exerce les pouvoirs applicables aux ressources financières et humaines qui sont nécessaires afin d’établir, de mettre en œuvre et de maintenir son système de gestion et ses programmes de protection et de veiller à ce que la société s’acquitte de ses obligations en matière de sécurité, de sûreté et de protection de l’environnement (article 6.2 du </w:t>
            </w:r>
            <w:r>
              <w:rPr>
                <w:rFonts w:ascii="Arial" w:hAnsi="Arial"/>
                <w:i/>
                <w:iCs/>
                <w:color w:val="4472C4" w:themeColor="accent1"/>
              </w:rPr>
              <w:t>Règlement de la Régie canadienne de l'énergie sur les pipelines terrestres</w:t>
            </w:r>
            <w:r>
              <w:rPr>
                <w:rFonts w:ascii="Arial" w:hAnsi="Arial"/>
                <w:color w:val="4472C4" w:themeColor="accent1"/>
              </w:rPr>
              <w:t xml:space="preserve"> [« RPT »]). Indiquez le nom du dirigeant responsable proposé. Cela ne s’applique pas si le pipeline ou le pipeline abandonné cesse de relever de la compétence de la Régie. </w:t>
            </w:r>
          </w:p>
        </w:tc>
      </w:tr>
      <w:tr w:rsidR="003327FD" w:rsidRPr="00391388" w14:paraId="10D1DAA1" w14:textId="77777777" w:rsidTr="38139410">
        <w:trPr>
          <w:cantSplit/>
          <w:trHeight w:val="300"/>
        </w:trPr>
        <w:tc>
          <w:tcPr>
            <w:tcW w:w="645" w:type="dxa"/>
            <w:tcMar>
              <w:top w:w="57" w:type="dxa"/>
              <w:bottom w:w="57" w:type="dxa"/>
            </w:tcMar>
          </w:tcPr>
          <w:p w14:paraId="59FB7053" w14:textId="34D51522" w:rsidR="001979BB" w:rsidRPr="00F375BD" w:rsidRDefault="008852FD" w:rsidP="002402A5">
            <w:pPr>
              <w:tabs>
                <w:tab w:val="left" w:pos="10080"/>
              </w:tabs>
              <w:spacing w:after="120" w:line="240" w:lineRule="auto"/>
              <w:rPr>
                <w:rFonts w:ascii="Arial" w:hAnsi="Arial"/>
              </w:rPr>
            </w:pPr>
            <w:r>
              <w:rPr>
                <w:rFonts w:ascii="Arial" w:hAnsi="Arial"/>
              </w:rPr>
              <w:t>7.</w:t>
            </w:r>
          </w:p>
        </w:tc>
        <w:tc>
          <w:tcPr>
            <w:tcW w:w="1983" w:type="dxa"/>
            <w:tcMar>
              <w:top w:w="57" w:type="dxa"/>
              <w:bottom w:w="57" w:type="dxa"/>
            </w:tcMar>
          </w:tcPr>
          <w:p w14:paraId="1E111605" w14:textId="77777777" w:rsidR="001979BB" w:rsidRPr="00F375BD" w:rsidRDefault="001979BB" w:rsidP="002402A5">
            <w:pPr>
              <w:tabs>
                <w:tab w:val="left" w:pos="10080"/>
              </w:tabs>
              <w:spacing w:after="120" w:line="240" w:lineRule="auto"/>
              <w:rPr>
                <w:rFonts w:ascii="Arial" w:hAnsi="Arial"/>
              </w:rPr>
            </w:pPr>
            <w:r>
              <w:rPr>
                <w:rFonts w:ascii="Arial" w:hAnsi="Arial"/>
              </w:rPr>
              <w:t>Personnalité juridique</w:t>
            </w:r>
          </w:p>
        </w:tc>
        <w:tc>
          <w:tcPr>
            <w:tcW w:w="7573" w:type="dxa"/>
            <w:tcMar>
              <w:top w:w="57" w:type="dxa"/>
              <w:bottom w:w="57" w:type="dxa"/>
            </w:tcMar>
          </w:tcPr>
          <w:p w14:paraId="1086720B" w14:textId="57E5F327"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Décrivez la structure organisationnelle de l’acheteur ou de la société issue de la fusion. Annexez à la présente la documentation sur la personnalité juridique de la société, comme une copie du certificat de constitution. Précisez si la province de constitution en société diffère de celle où la société exercera ses activités en lien avec le pipeline.</w:t>
            </w:r>
          </w:p>
        </w:tc>
      </w:tr>
      <w:tr w:rsidR="003327FD" w:rsidRPr="00391388" w14:paraId="07684172" w14:textId="77777777" w:rsidTr="38139410">
        <w:trPr>
          <w:cantSplit/>
          <w:trHeight w:val="300"/>
        </w:trPr>
        <w:tc>
          <w:tcPr>
            <w:tcW w:w="645" w:type="dxa"/>
            <w:tcMar>
              <w:top w:w="57" w:type="dxa"/>
              <w:bottom w:w="57" w:type="dxa"/>
            </w:tcMar>
          </w:tcPr>
          <w:p w14:paraId="5DBD02AA" w14:textId="27BC6549" w:rsidR="001979BB" w:rsidRPr="00F375BD" w:rsidRDefault="008852FD" w:rsidP="002402A5">
            <w:pPr>
              <w:tabs>
                <w:tab w:val="left" w:pos="10080"/>
              </w:tabs>
              <w:spacing w:after="120" w:line="240" w:lineRule="auto"/>
              <w:rPr>
                <w:rFonts w:ascii="Arial" w:hAnsi="Arial"/>
              </w:rPr>
            </w:pPr>
            <w:r>
              <w:rPr>
                <w:rFonts w:ascii="Arial" w:hAnsi="Arial"/>
              </w:rPr>
              <w:t>8.</w:t>
            </w:r>
          </w:p>
        </w:tc>
        <w:tc>
          <w:tcPr>
            <w:tcW w:w="1983" w:type="dxa"/>
            <w:tcMar>
              <w:top w:w="57" w:type="dxa"/>
              <w:bottom w:w="57" w:type="dxa"/>
            </w:tcMar>
          </w:tcPr>
          <w:p w14:paraId="371C2C18" w14:textId="77777777" w:rsidR="001979BB" w:rsidRPr="00F375BD" w:rsidRDefault="001979BB" w:rsidP="002402A5">
            <w:pPr>
              <w:tabs>
                <w:tab w:val="left" w:pos="10080"/>
              </w:tabs>
              <w:spacing w:after="120" w:line="240" w:lineRule="auto"/>
              <w:rPr>
                <w:rFonts w:ascii="Arial" w:hAnsi="Arial"/>
              </w:rPr>
            </w:pPr>
            <w:r>
              <w:rPr>
                <w:rFonts w:ascii="Arial" w:hAnsi="Arial"/>
              </w:rPr>
              <w:t>Mesure demandée</w:t>
            </w:r>
          </w:p>
        </w:tc>
        <w:tc>
          <w:tcPr>
            <w:tcW w:w="7573" w:type="dxa"/>
            <w:tcMar>
              <w:top w:w="57" w:type="dxa"/>
              <w:bottom w:w="57" w:type="dxa"/>
            </w:tcMar>
          </w:tcPr>
          <w:p w14:paraId="4ED4639E" w14:textId="60B5871A"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Indiquez la mesure sollicitée par le demandeur auprès de la Commission (au moins une des mesures suivantes) :</w:t>
            </w:r>
          </w:p>
          <w:p w14:paraId="44FE8881" w14:textId="1A3D32BC" w:rsidR="001979BB" w:rsidRPr="00F375BD" w:rsidRDefault="001979BB" w:rsidP="002402A5">
            <w:pPr>
              <w:numPr>
                <w:ilvl w:val="0"/>
                <w:numId w:val="3"/>
              </w:numPr>
              <w:tabs>
                <w:tab w:val="left" w:pos="10080"/>
              </w:tabs>
              <w:spacing w:after="120" w:line="240" w:lineRule="auto"/>
              <w:rPr>
                <w:rFonts w:ascii="Arial" w:hAnsi="Arial"/>
                <w:color w:val="4472C4" w:themeColor="accent1"/>
              </w:rPr>
            </w:pPr>
            <w:r>
              <w:rPr>
                <w:rFonts w:ascii="Arial" w:hAnsi="Arial"/>
                <w:color w:val="4472C4" w:themeColor="accent1"/>
              </w:rPr>
              <w:t xml:space="preserve">autoriser une société à vendre, transférer ou louer à quiconque tout ou partie de son pipeline ou de son pipeline abandonné, en vertu de l’alinéa 181(1)a) de la LRCE; </w:t>
            </w:r>
          </w:p>
          <w:p w14:paraId="73C78A1D" w14:textId="22DF8267" w:rsidR="001979BB" w:rsidRPr="00F375BD" w:rsidRDefault="001979BB" w:rsidP="002402A5">
            <w:pPr>
              <w:numPr>
                <w:ilvl w:val="0"/>
                <w:numId w:val="3"/>
              </w:numPr>
              <w:tabs>
                <w:tab w:val="left" w:pos="10080"/>
              </w:tabs>
              <w:spacing w:after="120" w:line="240" w:lineRule="auto"/>
              <w:rPr>
                <w:rFonts w:ascii="Arial" w:hAnsi="Arial"/>
                <w:color w:val="4472C4" w:themeColor="accent1"/>
              </w:rPr>
            </w:pPr>
            <w:r>
              <w:rPr>
                <w:rFonts w:ascii="Arial" w:hAnsi="Arial"/>
                <w:color w:val="4472C4" w:themeColor="accent1"/>
              </w:rPr>
              <w:t xml:space="preserve">autoriser une société à acheter, acquérir ou louer de quiconque tout ou partie d’un pipeline ou d’un pipeline abandonné, en vertu de l’alinéa 181(1)b) de la LRCE; </w:t>
            </w:r>
          </w:p>
          <w:p w14:paraId="490A5ECA" w14:textId="69321BDF" w:rsidR="001979BB" w:rsidRPr="00F375BD" w:rsidRDefault="001979BB" w:rsidP="002402A5">
            <w:pPr>
              <w:numPr>
                <w:ilvl w:val="0"/>
                <w:numId w:val="3"/>
              </w:numPr>
              <w:tabs>
                <w:tab w:val="left" w:pos="10080"/>
              </w:tabs>
              <w:spacing w:after="120" w:line="240" w:lineRule="auto"/>
              <w:rPr>
                <w:rFonts w:ascii="Arial" w:hAnsi="Arial"/>
                <w:color w:val="4472C4" w:themeColor="accent1"/>
              </w:rPr>
            </w:pPr>
            <w:r>
              <w:rPr>
                <w:rFonts w:ascii="Arial" w:hAnsi="Arial"/>
                <w:color w:val="4472C4" w:themeColor="accent1"/>
              </w:rPr>
              <w:t>autoriser une société à fusionner avec une autre société, en vertu de l’alinéa 181(1)c) de la LRCE;</w:t>
            </w:r>
          </w:p>
          <w:p w14:paraId="2DE346B9" w14:textId="549096B4" w:rsidR="001979BB" w:rsidRPr="00F375BD" w:rsidRDefault="001979BB" w:rsidP="002402A5">
            <w:pPr>
              <w:numPr>
                <w:ilvl w:val="0"/>
                <w:numId w:val="3"/>
              </w:numPr>
              <w:tabs>
                <w:tab w:val="left" w:pos="10080"/>
              </w:tabs>
              <w:spacing w:after="120" w:line="240" w:lineRule="auto"/>
              <w:rPr>
                <w:rFonts w:ascii="Arial" w:hAnsi="Arial"/>
                <w:color w:val="4472C4" w:themeColor="accent1"/>
              </w:rPr>
            </w:pPr>
            <w:r>
              <w:rPr>
                <w:rFonts w:ascii="Arial" w:hAnsi="Arial"/>
                <w:color w:val="4472C4" w:themeColor="accent1"/>
              </w:rPr>
              <w:t>modifier l’ordonnance ou le certificat d’origine pour remplacer le nom qui y figure par celui de l’acheteur et nouvel exploitant du pipeline une fois la transaction conclue, conformément aux articles 69 ou 190 de la LRCE.</w:t>
            </w:r>
          </w:p>
          <w:p w14:paraId="031CEACC" w14:textId="16D491BC"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Pour en savoir plus, consultez la section</w:t>
            </w:r>
            <w:r>
              <w:t xml:space="preserve"> </w:t>
            </w:r>
            <w:hyperlink r:id="rId18" w:anchor="s3_1" w:history="1">
              <w:r>
                <w:rPr>
                  <w:rStyle w:val="Hyperlink"/>
                  <w:rFonts w:ascii="Arial" w:hAnsi="Arial"/>
                  <w:color w:val="4472C4" w:themeColor="accent1"/>
                </w:rPr>
                <w:t>Mesure demandée</w:t>
              </w:r>
            </w:hyperlink>
            <w:r>
              <w:t xml:space="preserve"> </w:t>
            </w:r>
            <w:r>
              <w:rPr>
                <w:rFonts w:ascii="Arial" w:hAnsi="Arial"/>
                <w:color w:val="4472C4" w:themeColor="accent1"/>
              </w:rPr>
              <w:t>du chapitre 3 du Guide de dépôt.</w:t>
            </w:r>
          </w:p>
        </w:tc>
      </w:tr>
      <w:tr w:rsidR="003327FD" w:rsidRPr="00391388" w14:paraId="00263927" w14:textId="77777777" w:rsidTr="38139410">
        <w:trPr>
          <w:cantSplit/>
          <w:trHeight w:val="300"/>
        </w:trPr>
        <w:tc>
          <w:tcPr>
            <w:tcW w:w="645" w:type="dxa"/>
            <w:tcMar>
              <w:top w:w="57" w:type="dxa"/>
              <w:bottom w:w="57" w:type="dxa"/>
            </w:tcMar>
          </w:tcPr>
          <w:p w14:paraId="45A361C5" w14:textId="136D50D7" w:rsidR="001979BB" w:rsidRPr="00F375BD" w:rsidRDefault="008852FD" w:rsidP="002402A5">
            <w:pPr>
              <w:tabs>
                <w:tab w:val="left" w:pos="10080"/>
              </w:tabs>
              <w:spacing w:after="120" w:line="240" w:lineRule="auto"/>
              <w:rPr>
                <w:rFonts w:ascii="Arial" w:hAnsi="Arial"/>
              </w:rPr>
            </w:pPr>
            <w:r>
              <w:rPr>
                <w:rFonts w:ascii="Arial" w:hAnsi="Arial"/>
              </w:rPr>
              <w:t>9.</w:t>
            </w:r>
          </w:p>
        </w:tc>
        <w:tc>
          <w:tcPr>
            <w:tcW w:w="1983" w:type="dxa"/>
            <w:tcMar>
              <w:top w:w="57" w:type="dxa"/>
              <w:bottom w:w="57" w:type="dxa"/>
            </w:tcMar>
          </w:tcPr>
          <w:p w14:paraId="27EAAB9C" w14:textId="77777777" w:rsidR="001979BB" w:rsidRPr="00F375BD" w:rsidRDefault="001979BB" w:rsidP="002402A5">
            <w:pPr>
              <w:tabs>
                <w:tab w:val="left" w:pos="10080"/>
              </w:tabs>
              <w:spacing w:after="120" w:line="240" w:lineRule="auto"/>
              <w:rPr>
                <w:rFonts w:ascii="Arial" w:hAnsi="Arial"/>
              </w:rPr>
            </w:pPr>
            <w:r>
              <w:rPr>
                <w:rFonts w:ascii="Arial" w:hAnsi="Arial"/>
              </w:rPr>
              <w:t>Motif de la demande</w:t>
            </w:r>
          </w:p>
        </w:tc>
        <w:tc>
          <w:tcPr>
            <w:tcW w:w="7573" w:type="dxa"/>
            <w:tcMar>
              <w:top w:w="57" w:type="dxa"/>
              <w:bottom w:w="57" w:type="dxa"/>
            </w:tcMar>
          </w:tcPr>
          <w:p w14:paraId="70C63D2F" w14:textId="4E9F7D8D"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Précisez la nature de la transaction proposée (transfert de propriété, cession ou prise à bail ou fusion) et la date de celle-ci. Décrivez tout changement de propriétaire, toute cession ou prise à bail ou toute fusion ayant eu lieu entre la délivrance de l’autorisation par la Commission ou un autre organisme de réglementation et le dépôt de la demande. Pour en savoir plus, consultez la section </w:t>
            </w:r>
            <w:hyperlink r:id="rId19" w:anchor="s3_2" w:history="1">
              <w:r>
                <w:rPr>
                  <w:rStyle w:val="Hyperlink"/>
                  <w:rFonts w:ascii="Arial" w:hAnsi="Arial"/>
                  <w:color w:val="4472C4" w:themeColor="accent1"/>
                </w:rPr>
                <w:t>Objet de la demande ou du projet</w:t>
              </w:r>
            </w:hyperlink>
            <w:r>
              <w:rPr>
                <w:rFonts w:ascii="Arial" w:hAnsi="Arial"/>
                <w:color w:val="4472C4" w:themeColor="accent1"/>
              </w:rPr>
              <w:t xml:space="preserve"> du chapitre 3 du Guide de dépôt.</w:t>
            </w:r>
          </w:p>
        </w:tc>
      </w:tr>
      <w:tr w:rsidR="003327FD" w:rsidRPr="00391388" w14:paraId="0C45E685" w14:textId="77777777" w:rsidTr="38139410">
        <w:trPr>
          <w:cantSplit/>
          <w:trHeight w:val="300"/>
        </w:trPr>
        <w:tc>
          <w:tcPr>
            <w:tcW w:w="10201" w:type="dxa"/>
            <w:gridSpan w:val="3"/>
            <w:shd w:val="clear" w:color="auto" w:fill="D9D9D9" w:themeFill="background1" w:themeFillShade="D9"/>
            <w:tcMar>
              <w:top w:w="57" w:type="dxa"/>
              <w:bottom w:w="57" w:type="dxa"/>
            </w:tcMar>
          </w:tcPr>
          <w:p w14:paraId="556B310F" w14:textId="1C4C515E" w:rsidR="001979BB" w:rsidRPr="00F375BD" w:rsidRDefault="001979BB" w:rsidP="002402A5">
            <w:pPr>
              <w:spacing w:after="120" w:line="240" w:lineRule="auto"/>
              <w:rPr>
                <w:rFonts w:ascii="Arial" w:hAnsi="Arial"/>
                <w:b/>
                <w:color w:val="1B0696"/>
              </w:rPr>
            </w:pPr>
            <w:r>
              <w:rPr>
                <w:rFonts w:ascii="Arial" w:hAnsi="Arial"/>
                <w:b/>
              </w:rPr>
              <w:t xml:space="preserve">Exploitation </w:t>
            </w:r>
          </w:p>
        </w:tc>
      </w:tr>
      <w:tr w:rsidR="003327FD" w:rsidRPr="00391388" w14:paraId="49A46D8C" w14:textId="77777777" w:rsidTr="38139410">
        <w:trPr>
          <w:cantSplit/>
          <w:trHeight w:val="300"/>
        </w:trPr>
        <w:tc>
          <w:tcPr>
            <w:tcW w:w="645" w:type="dxa"/>
            <w:tcMar>
              <w:top w:w="57" w:type="dxa"/>
              <w:bottom w:w="57" w:type="dxa"/>
            </w:tcMar>
          </w:tcPr>
          <w:p w14:paraId="70A9248D" w14:textId="63C31295" w:rsidR="001979BB" w:rsidRPr="00F375BD" w:rsidRDefault="008852FD" w:rsidP="002402A5">
            <w:pPr>
              <w:tabs>
                <w:tab w:val="left" w:pos="10080"/>
              </w:tabs>
              <w:spacing w:after="120" w:line="240" w:lineRule="auto"/>
              <w:rPr>
                <w:rFonts w:ascii="Arial" w:hAnsi="Arial"/>
              </w:rPr>
            </w:pPr>
            <w:r>
              <w:rPr>
                <w:rFonts w:ascii="Arial" w:hAnsi="Arial"/>
              </w:rPr>
              <w:lastRenderedPageBreak/>
              <w:t>10.</w:t>
            </w:r>
          </w:p>
        </w:tc>
        <w:tc>
          <w:tcPr>
            <w:tcW w:w="1983" w:type="dxa"/>
            <w:tcMar>
              <w:top w:w="57" w:type="dxa"/>
              <w:bottom w:w="57" w:type="dxa"/>
            </w:tcMar>
          </w:tcPr>
          <w:p w14:paraId="23EC23D2" w14:textId="77777777" w:rsidR="001979BB" w:rsidRPr="00F375BD" w:rsidRDefault="001979BB" w:rsidP="002402A5">
            <w:pPr>
              <w:spacing w:after="120" w:line="240" w:lineRule="auto"/>
              <w:rPr>
                <w:rFonts w:ascii="Arial" w:hAnsi="Arial"/>
              </w:rPr>
            </w:pPr>
            <w:r>
              <w:rPr>
                <w:rFonts w:ascii="Arial" w:hAnsi="Arial"/>
              </w:rPr>
              <w:t>Systèmes de gestion et programmes en vertu du RPT</w:t>
            </w:r>
          </w:p>
          <w:p w14:paraId="3526E6A9" w14:textId="77777777" w:rsidR="001979BB" w:rsidRPr="00F375BD" w:rsidRDefault="001979BB" w:rsidP="002402A5">
            <w:pPr>
              <w:tabs>
                <w:tab w:val="left" w:pos="10080"/>
              </w:tabs>
              <w:spacing w:after="120" w:line="240" w:lineRule="auto"/>
              <w:rPr>
                <w:rFonts w:ascii="Arial" w:hAnsi="Arial"/>
              </w:rPr>
            </w:pPr>
          </w:p>
        </w:tc>
        <w:tc>
          <w:tcPr>
            <w:tcW w:w="7573" w:type="dxa"/>
            <w:tcMar>
              <w:top w:w="57" w:type="dxa"/>
              <w:bottom w:w="57" w:type="dxa"/>
            </w:tcMar>
          </w:tcPr>
          <w:p w14:paraId="306BC427" w14:textId="3FB86526" w:rsidR="001979BB" w:rsidRPr="00F375BD" w:rsidRDefault="001979BB" w:rsidP="002402A5">
            <w:pPr>
              <w:spacing w:after="120" w:line="240" w:lineRule="auto"/>
              <w:rPr>
                <w:rFonts w:ascii="Arial" w:hAnsi="Arial"/>
                <w:color w:val="4472C4" w:themeColor="accent1"/>
              </w:rPr>
            </w:pPr>
            <w:r>
              <w:rPr>
                <w:rFonts w:ascii="Arial" w:hAnsi="Arial"/>
                <w:color w:val="4471C4"/>
              </w:rPr>
              <w:t>Les articles 6.1 à 6.6 du RPT présentent en détail les éléments devant constituer le système de gestion d’une société. Confirmez que le système de gestion de l’acheteur ou de la société fusionnante servira aussi à coordonner les six programmes suivants :</w:t>
            </w:r>
          </w:p>
          <w:p w14:paraId="3150CF15" w14:textId="77777777" w:rsidR="001979BB" w:rsidRPr="00F375BD" w:rsidRDefault="001979BB" w:rsidP="002402A5">
            <w:pPr>
              <w:numPr>
                <w:ilvl w:val="0"/>
                <w:numId w:val="5"/>
              </w:numPr>
              <w:spacing w:after="120" w:line="240" w:lineRule="auto"/>
              <w:ind w:left="504"/>
              <w:rPr>
                <w:rFonts w:ascii="Arial" w:hAnsi="Arial"/>
                <w:color w:val="4472C4" w:themeColor="accent1"/>
              </w:rPr>
            </w:pPr>
            <w:r>
              <w:rPr>
                <w:rFonts w:ascii="Arial" w:hAnsi="Arial"/>
                <w:color w:val="4472C4" w:themeColor="accent1"/>
              </w:rPr>
              <w:t>programme de gestion des situations d’urgence (article 32 du RPT)</w:t>
            </w:r>
          </w:p>
          <w:p w14:paraId="042513FA" w14:textId="77777777" w:rsidR="001979BB" w:rsidRPr="00F375BD" w:rsidRDefault="001979BB" w:rsidP="002402A5">
            <w:pPr>
              <w:numPr>
                <w:ilvl w:val="0"/>
                <w:numId w:val="5"/>
              </w:numPr>
              <w:spacing w:after="120" w:line="240" w:lineRule="auto"/>
              <w:ind w:left="504"/>
              <w:rPr>
                <w:rFonts w:ascii="Arial" w:hAnsi="Arial"/>
                <w:color w:val="4472C4" w:themeColor="accent1"/>
              </w:rPr>
            </w:pPr>
            <w:r>
              <w:rPr>
                <w:rFonts w:ascii="Arial" w:hAnsi="Arial"/>
                <w:color w:val="4472C4" w:themeColor="accent1"/>
              </w:rPr>
              <w:t>programme de gestion de l’intégrité (article 40 du RPT)</w:t>
            </w:r>
          </w:p>
          <w:p w14:paraId="1D7C0BE7" w14:textId="77777777" w:rsidR="001979BB" w:rsidRPr="00F375BD" w:rsidRDefault="001979BB" w:rsidP="002402A5">
            <w:pPr>
              <w:numPr>
                <w:ilvl w:val="0"/>
                <w:numId w:val="5"/>
              </w:numPr>
              <w:spacing w:after="120" w:line="240" w:lineRule="auto"/>
              <w:ind w:left="504"/>
              <w:rPr>
                <w:rFonts w:ascii="Arial" w:hAnsi="Arial"/>
                <w:color w:val="4472C4" w:themeColor="accent1"/>
              </w:rPr>
            </w:pPr>
            <w:r>
              <w:rPr>
                <w:rFonts w:ascii="Arial" w:hAnsi="Arial"/>
                <w:color w:val="4472C4" w:themeColor="accent1"/>
              </w:rPr>
              <w:t>programme de gestion de la sécurité (article 47 du RPT)</w:t>
            </w:r>
          </w:p>
          <w:p w14:paraId="3AE16B98" w14:textId="77777777" w:rsidR="001979BB" w:rsidRPr="00F375BD" w:rsidRDefault="001979BB" w:rsidP="002402A5">
            <w:pPr>
              <w:numPr>
                <w:ilvl w:val="0"/>
                <w:numId w:val="5"/>
              </w:numPr>
              <w:spacing w:after="120" w:line="240" w:lineRule="auto"/>
              <w:ind w:left="504"/>
              <w:rPr>
                <w:rFonts w:ascii="Arial" w:hAnsi="Arial"/>
                <w:color w:val="4472C4" w:themeColor="accent1"/>
              </w:rPr>
            </w:pPr>
            <w:r>
              <w:rPr>
                <w:rFonts w:ascii="Arial" w:hAnsi="Arial"/>
                <w:color w:val="4472C4" w:themeColor="accent1"/>
              </w:rPr>
              <w:t>programme de gestion de la sûreté (article 47.1 du RPT)</w:t>
            </w:r>
          </w:p>
          <w:p w14:paraId="74E9756A" w14:textId="77777777" w:rsidR="00087635" w:rsidRPr="00F404FB" w:rsidRDefault="00087635" w:rsidP="002402A5">
            <w:pPr>
              <w:numPr>
                <w:ilvl w:val="0"/>
                <w:numId w:val="5"/>
              </w:numPr>
              <w:spacing w:after="120" w:line="240" w:lineRule="auto"/>
              <w:ind w:left="504"/>
              <w:rPr>
                <w:rFonts w:ascii="Arial" w:eastAsia="Times New Roman" w:hAnsi="Arial" w:cs="Arial"/>
                <w:color w:val="4472C4" w:themeColor="accent1"/>
              </w:rPr>
            </w:pPr>
            <w:r>
              <w:rPr>
                <w:rFonts w:ascii="Arial" w:hAnsi="Arial"/>
                <w:color w:val="4472C4" w:themeColor="accent1"/>
              </w:rPr>
              <w:t>programme de prévention des dommages (article 47.2 du RPT)</w:t>
            </w:r>
          </w:p>
          <w:p w14:paraId="3B4A637C" w14:textId="77777777" w:rsidR="001979BB" w:rsidRPr="00F375BD" w:rsidRDefault="001979BB" w:rsidP="002402A5">
            <w:pPr>
              <w:numPr>
                <w:ilvl w:val="0"/>
                <w:numId w:val="5"/>
              </w:numPr>
              <w:spacing w:after="120" w:line="240" w:lineRule="auto"/>
              <w:ind w:left="504"/>
              <w:rPr>
                <w:rFonts w:ascii="Arial" w:hAnsi="Arial"/>
                <w:color w:val="4472C4" w:themeColor="accent1"/>
              </w:rPr>
            </w:pPr>
            <w:r>
              <w:rPr>
                <w:rFonts w:ascii="Arial" w:hAnsi="Arial"/>
                <w:color w:val="4472C4" w:themeColor="accent1"/>
              </w:rPr>
              <w:t>programme de protection environnementale (article 48 du RPT)</w:t>
            </w:r>
          </w:p>
          <w:p w14:paraId="76D0F719" w14:textId="0151A8D8"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L’article 6.5 du RPT énumère certains des processus et exigences qui doivent faire partie du système de gestion d’une société et de chacun des six programmes. Consultez le </w:t>
            </w:r>
            <w:hyperlink r:id="rId20" w:anchor="s3_1">
              <w:r>
                <w:rPr>
                  <w:rFonts w:ascii="Arial" w:hAnsi="Arial"/>
                  <w:color w:val="4472C4" w:themeColor="accent1"/>
                </w:rPr>
                <w:t>Guide de dépôt</w:t>
              </w:r>
            </w:hyperlink>
            <w:r>
              <w:rPr>
                <w:rFonts w:ascii="Arial" w:hAnsi="Arial"/>
                <w:color w:val="4472C4" w:themeColor="accent1"/>
              </w:rPr>
              <w:t xml:space="preserve"> ou le personnel de la Régie. Cela ne s’applique pas si le pipeline ou le pipeline abandonné cesse de relever de la compétence de la Régie.</w:t>
            </w:r>
          </w:p>
        </w:tc>
      </w:tr>
      <w:tr w:rsidR="003327FD" w:rsidRPr="00391388" w14:paraId="4EECCEC5" w14:textId="77777777" w:rsidTr="38139410">
        <w:trPr>
          <w:cantSplit/>
          <w:trHeight w:val="300"/>
        </w:trPr>
        <w:tc>
          <w:tcPr>
            <w:tcW w:w="645" w:type="dxa"/>
            <w:tcMar>
              <w:top w:w="57" w:type="dxa"/>
              <w:bottom w:w="57" w:type="dxa"/>
            </w:tcMar>
          </w:tcPr>
          <w:p w14:paraId="440B6A40" w14:textId="69DBBBC2" w:rsidR="001979BB" w:rsidRPr="00F375BD" w:rsidRDefault="008852FD" w:rsidP="002402A5">
            <w:pPr>
              <w:tabs>
                <w:tab w:val="left" w:pos="10080"/>
              </w:tabs>
              <w:spacing w:after="120" w:line="240" w:lineRule="auto"/>
              <w:rPr>
                <w:rFonts w:ascii="Arial" w:hAnsi="Arial"/>
              </w:rPr>
            </w:pPr>
            <w:r>
              <w:rPr>
                <w:rFonts w:ascii="Arial" w:hAnsi="Arial"/>
              </w:rPr>
              <w:t>11.</w:t>
            </w:r>
          </w:p>
        </w:tc>
        <w:tc>
          <w:tcPr>
            <w:tcW w:w="1983" w:type="dxa"/>
            <w:tcMar>
              <w:top w:w="57" w:type="dxa"/>
              <w:bottom w:w="57" w:type="dxa"/>
            </w:tcMar>
          </w:tcPr>
          <w:p w14:paraId="04F803A7" w14:textId="77777777" w:rsidR="001979BB" w:rsidRPr="00F375BD" w:rsidRDefault="001979BB" w:rsidP="002402A5">
            <w:pPr>
              <w:tabs>
                <w:tab w:val="left" w:pos="10080"/>
              </w:tabs>
              <w:spacing w:after="120" w:line="240" w:lineRule="auto"/>
              <w:rPr>
                <w:rFonts w:ascii="Arial" w:hAnsi="Arial"/>
              </w:rPr>
            </w:pPr>
            <w:r>
              <w:rPr>
                <w:rFonts w:ascii="Arial" w:hAnsi="Arial"/>
              </w:rPr>
              <w:t>Signalisation d’urgence</w:t>
            </w:r>
          </w:p>
        </w:tc>
        <w:tc>
          <w:tcPr>
            <w:tcW w:w="7573" w:type="dxa"/>
            <w:tcMar>
              <w:top w:w="57" w:type="dxa"/>
              <w:bottom w:w="57" w:type="dxa"/>
            </w:tcMar>
          </w:tcPr>
          <w:p w14:paraId="39B0CE72" w14:textId="77777777"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Expliquez quand la signalisation d’urgence sera actualisée.</w:t>
            </w:r>
          </w:p>
        </w:tc>
      </w:tr>
      <w:tr w:rsidR="003327FD" w:rsidRPr="00391388" w14:paraId="7D6957A0" w14:textId="77777777" w:rsidTr="38139410">
        <w:trPr>
          <w:cantSplit/>
          <w:trHeight w:val="300"/>
        </w:trPr>
        <w:tc>
          <w:tcPr>
            <w:tcW w:w="645" w:type="dxa"/>
            <w:tcMar>
              <w:top w:w="57" w:type="dxa"/>
              <w:bottom w:w="57" w:type="dxa"/>
            </w:tcMar>
          </w:tcPr>
          <w:p w14:paraId="6DC52FDC" w14:textId="75AC03E4" w:rsidR="001979BB" w:rsidRPr="00F375BD" w:rsidRDefault="001979BB" w:rsidP="002402A5">
            <w:pPr>
              <w:tabs>
                <w:tab w:val="left" w:pos="10080"/>
              </w:tabs>
              <w:spacing w:after="120" w:line="240" w:lineRule="auto"/>
              <w:rPr>
                <w:rFonts w:ascii="Arial" w:hAnsi="Arial"/>
              </w:rPr>
            </w:pPr>
            <w:r>
              <w:rPr>
                <w:rFonts w:ascii="Arial" w:hAnsi="Arial"/>
              </w:rPr>
              <w:t>12.</w:t>
            </w:r>
          </w:p>
        </w:tc>
        <w:tc>
          <w:tcPr>
            <w:tcW w:w="1983" w:type="dxa"/>
            <w:tcMar>
              <w:top w:w="57" w:type="dxa"/>
              <w:bottom w:w="57" w:type="dxa"/>
            </w:tcMar>
          </w:tcPr>
          <w:p w14:paraId="40C9F206" w14:textId="7E938C35" w:rsidR="001979BB" w:rsidRPr="00F375BD" w:rsidRDefault="001979BB" w:rsidP="002402A5">
            <w:pPr>
              <w:tabs>
                <w:tab w:val="left" w:pos="10080"/>
              </w:tabs>
              <w:spacing w:after="120" w:line="240" w:lineRule="auto"/>
              <w:rPr>
                <w:rFonts w:ascii="Arial" w:hAnsi="Arial"/>
              </w:rPr>
            </w:pPr>
            <w:r>
              <w:rPr>
                <w:rFonts w:ascii="Arial" w:hAnsi="Arial"/>
              </w:rPr>
              <w:t>Dossiers</w:t>
            </w:r>
          </w:p>
        </w:tc>
        <w:tc>
          <w:tcPr>
            <w:tcW w:w="7573" w:type="dxa"/>
            <w:tcMar>
              <w:top w:w="57" w:type="dxa"/>
              <w:bottom w:w="57" w:type="dxa"/>
            </w:tcMar>
          </w:tcPr>
          <w:p w14:paraId="7CA47E82" w14:textId="73D65C52" w:rsidR="00F35152"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Le vendeur ou la société fusionnante qui détient les dossiers doit confirmer qu’une copie des dossiers décrits à l’article 10.4 de la norme CSA Z662-23 et aux alinéas 56e) à 56g) du RPT a été transmise à l’acheteur ou à la société issue de la fusion ou qu’elle le sera. </w:t>
            </w:r>
          </w:p>
          <w:p w14:paraId="1E56A7A0" w14:textId="03BE4AAF" w:rsidR="001979BB" w:rsidRPr="00F375BD" w:rsidRDefault="001979BB" w:rsidP="002402A5">
            <w:pPr>
              <w:tabs>
                <w:tab w:val="left" w:pos="10080"/>
              </w:tabs>
              <w:spacing w:after="120" w:line="240" w:lineRule="auto"/>
              <w:rPr>
                <w:rFonts w:ascii="Arial" w:hAnsi="Arial"/>
              </w:rPr>
            </w:pPr>
            <w:r>
              <w:rPr>
                <w:rFonts w:ascii="Arial" w:hAnsi="Arial"/>
                <w:color w:val="4472C4" w:themeColor="accent1"/>
              </w:rPr>
              <w:t>En l’absence de tels dossiers, fournissez un plan décrivant comment les renseignements nécessaires pour entretenir le pipeline et l’exploiter en toute sécurité seront obtenus.</w:t>
            </w:r>
          </w:p>
        </w:tc>
      </w:tr>
      <w:tr w:rsidR="003327FD" w:rsidRPr="00391388" w14:paraId="17476F49" w14:textId="77777777" w:rsidTr="38139410">
        <w:trPr>
          <w:cantSplit/>
          <w:trHeight w:val="300"/>
        </w:trPr>
        <w:tc>
          <w:tcPr>
            <w:tcW w:w="10201" w:type="dxa"/>
            <w:gridSpan w:val="3"/>
            <w:shd w:val="clear" w:color="auto" w:fill="D9D9D9" w:themeFill="background1" w:themeFillShade="D9"/>
            <w:tcMar>
              <w:top w:w="57" w:type="dxa"/>
              <w:bottom w:w="57" w:type="dxa"/>
            </w:tcMar>
          </w:tcPr>
          <w:p w14:paraId="4D537F4C" w14:textId="3643CEFA" w:rsidR="001979BB" w:rsidRPr="00F375BD" w:rsidRDefault="001979BB" w:rsidP="002402A5">
            <w:pPr>
              <w:tabs>
                <w:tab w:val="left" w:pos="10080"/>
              </w:tabs>
              <w:spacing w:after="120" w:line="240" w:lineRule="auto"/>
              <w:rPr>
                <w:rFonts w:ascii="Arial" w:hAnsi="Arial"/>
                <w:b/>
              </w:rPr>
            </w:pPr>
            <w:r>
              <w:rPr>
                <w:rFonts w:ascii="Arial" w:hAnsi="Arial"/>
                <w:b/>
              </w:rPr>
              <w:t xml:space="preserve">Notification et mobilisation </w:t>
            </w:r>
          </w:p>
        </w:tc>
      </w:tr>
      <w:tr w:rsidR="003327FD" w:rsidRPr="00391388" w14:paraId="09AEE4A6" w14:textId="77777777" w:rsidTr="38139410">
        <w:trPr>
          <w:cantSplit/>
          <w:trHeight w:val="300"/>
        </w:trPr>
        <w:tc>
          <w:tcPr>
            <w:tcW w:w="645" w:type="dxa"/>
            <w:tcMar>
              <w:top w:w="57" w:type="dxa"/>
              <w:bottom w:w="57" w:type="dxa"/>
            </w:tcMar>
          </w:tcPr>
          <w:p w14:paraId="2A8513D8" w14:textId="713F70B2" w:rsidR="001979BB" w:rsidRPr="00F375BD" w:rsidRDefault="001979BB" w:rsidP="002402A5">
            <w:pPr>
              <w:tabs>
                <w:tab w:val="left" w:pos="10080"/>
              </w:tabs>
              <w:spacing w:after="120" w:line="240" w:lineRule="auto"/>
              <w:rPr>
                <w:rFonts w:ascii="Arial" w:hAnsi="Arial"/>
              </w:rPr>
            </w:pPr>
            <w:r>
              <w:rPr>
                <w:rFonts w:ascii="Arial" w:hAnsi="Arial"/>
              </w:rPr>
              <w:t>13.</w:t>
            </w:r>
          </w:p>
        </w:tc>
        <w:tc>
          <w:tcPr>
            <w:tcW w:w="1983" w:type="dxa"/>
            <w:tcMar>
              <w:top w:w="57" w:type="dxa"/>
              <w:bottom w:w="57" w:type="dxa"/>
            </w:tcMar>
          </w:tcPr>
          <w:p w14:paraId="4E571484" w14:textId="62681786" w:rsidR="001979BB" w:rsidRPr="00F375BD" w:rsidRDefault="005F15E2" w:rsidP="002402A5">
            <w:pPr>
              <w:tabs>
                <w:tab w:val="left" w:pos="10080"/>
              </w:tabs>
              <w:spacing w:after="120" w:line="240" w:lineRule="auto"/>
              <w:rPr>
                <w:rFonts w:ascii="Arial" w:hAnsi="Arial"/>
              </w:rPr>
            </w:pPr>
            <w:r>
              <w:rPr>
                <w:rFonts w:ascii="Arial" w:hAnsi="Arial"/>
              </w:rPr>
              <w:t>Activités de mobilisation</w:t>
            </w:r>
          </w:p>
        </w:tc>
        <w:tc>
          <w:tcPr>
            <w:tcW w:w="7573" w:type="dxa"/>
            <w:tcMar>
              <w:top w:w="57" w:type="dxa"/>
              <w:bottom w:w="57" w:type="dxa"/>
            </w:tcMar>
          </w:tcPr>
          <w:p w14:paraId="7DBAFDFE" w14:textId="0F81352A" w:rsidR="001979BB" w:rsidRPr="00F375BD" w:rsidRDefault="001979BB" w:rsidP="002402A5">
            <w:pPr>
              <w:tabs>
                <w:tab w:val="left" w:pos="10080"/>
              </w:tabs>
              <w:spacing w:after="120" w:line="240" w:lineRule="auto"/>
              <w:rPr>
                <w:rFonts w:ascii="Arial" w:hAnsi="Arial"/>
                <w:color w:val="4472C4" w:themeColor="accent1"/>
              </w:rPr>
            </w:pPr>
            <w:bookmarkStart w:id="1" w:name="_Hlk189820270"/>
            <w:r>
              <w:rPr>
                <w:rFonts w:ascii="Arial" w:hAnsi="Arial"/>
                <w:color w:val="4472C4" w:themeColor="accent1"/>
              </w:rPr>
              <w:t>Précisez les résultats de toute activité de mobilisation en fournissant notamment une liste de toutes les personnes et communautés susceptibles d’être touchées qui ont été mobilisées, un résumé des commentaires et des préoccupations formulés, et la réponse du demandeur aux commentaires et préoccupations exprimés. Si aucune activité de mobilisation n’a eu lieu, indiquez pourquoi il n’a pas été jugé nécessaire de mener de telles activités au sujet de la transaction proposée.</w:t>
            </w:r>
            <w:bookmarkEnd w:id="1"/>
            <w:r>
              <w:rPr>
                <w:rFonts w:ascii="Arial" w:hAnsi="Arial"/>
                <w:color w:val="4472C4" w:themeColor="accent1"/>
              </w:rPr>
              <w:t xml:space="preserve"> Pour en savoir plus, consultez la section </w:t>
            </w:r>
            <w:hyperlink r:id="rId21" w:anchor="s3_4" w:history="1">
              <w:r>
                <w:rPr>
                  <w:rStyle w:val="Hyperlink"/>
                  <w:rFonts w:ascii="Arial" w:hAnsi="Arial"/>
                  <w:color w:val="4472C4" w:themeColor="accent1"/>
                </w:rPr>
                <w:t>Activités de mobilisation</w:t>
              </w:r>
            </w:hyperlink>
            <w:r>
              <w:rPr>
                <w:rFonts w:ascii="Arial" w:hAnsi="Arial"/>
                <w:color w:val="4472C4" w:themeColor="accent1"/>
              </w:rPr>
              <w:t xml:space="preserve"> du chapitre 3 du Guide de dépôt.</w:t>
            </w:r>
          </w:p>
        </w:tc>
      </w:tr>
      <w:tr w:rsidR="003327FD" w:rsidRPr="00391388" w14:paraId="1B7080ED" w14:textId="77777777" w:rsidTr="38139410">
        <w:trPr>
          <w:cantSplit/>
          <w:trHeight w:val="300"/>
        </w:trPr>
        <w:tc>
          <w:tcPr>
            <w:tcW w:w="645" w:type="dxa"/>
            <w:tcMar>
              <w:top w:w="57" w:type="dxa"/>
              <w:bottom w:w="57" w:type="dxa"/>
            </w:tcMar>
          </w:tcPr>
          <w:p w14:paraId="15867306" w14:textId="568CB07A" w:rsidR="001979BB" w:rsidRPr="00F375BD" w:rsidRDefault="00A70B46" w:rsidP="002402A5">
            <w:pPr>
              <w:tabs>
                <w:tab w:val="left" w:pos="10080"/>
              </w:tabs>
              <w:spacing w:after="120" w:line="240" w:lineRule="auto"/>
              <w:rPr>
                <w:rFonts w:ascii="Arial" w:hAnsi="Arial"/>
              </w:rPr>
            </w:pPr>
            <w:r>
              <w:rPr>
                <w:rFonts w:ascii="Arial" w:hAnsi="Arial"/>
              </w:rPr>
              <w:t>14.</w:t>
            </w:r>
          </w:p>
        </w:tc>
        <w:tc>
          <w:tcPr>
            <w:tcW w:w="1983" w:type="dxa"/>
            <w:tcMar>
              <w:top w:w="57" w:type="dxa"/>
              <w:bottom w:w="57" w:type="dxa"/>
            </w:tcMar>
          </w:tcPr>
          <w:p w14:paraId="61F761ED" w14:textId="77777777" w:rsidR="001979BB" w:rsidRPr="00F375BD" w:rsidRDefault="001979BB" w:rsidP="002402A5">
            <w:pPr>
              <w:tabs>
                <w:tab w:val="left" w:pos="10080"/>
              </w:tabs>
              <w:spacing w:after="120" w:line="240" w:lineRule="auto"/>
              <w:rPr>
                <w:rFonts w:ascii="Arial" w:hAnsi="Arial"/>
              </w:rPr>
            </w:pPr>
            <w:r>
              <w:rPr>
                <w:rFonts w:ascii="Arial" w:hAnsi="Arial"/>
              </w:rPr>
              <w:t>Notification des propriétaires fonciers</w:t>
            </w:r>
          </w:p>
        </w:tc>
        <w:tc>
          <w:tcPr>
            <w:tcW w:w="7573" w:type="dxa"/>
            <w:tcMar>
              <w:top w:w="57" w:type="dxa"/>
              <w:bottom w:w="57" w:type="dxa"/>
            </w:tcMar>
          </w:tcPr>
          <w:p w14:paraId="6A74BC81" w14:textId="6AE155E9"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Expliquez comment les propriétaires fonciers seront avisés de la transaction proposée.</w:t>
            </w:r>
          </w:p>
        </w:tc>
      </w:tr>
      <w:tr w:rsidR="003327FD" w:rsidRPr="00391388" w14:paraId="7F2CBB46" w14:textId="77777777" w:rsidTr="38139410">
        <w:trPr>
          <w:cantSplit/>
          <w:trHeight w:val="300"/>
        </w:trPr>
        <w:tc>
          <w:tcPr>
            <w:tcW w:w="645" w:type="dxa"/>
            <w:tcMar>
              <w:top w:w="57" w:type="dxa"/>
              <w:bottom w:w="57" w:type="dxa"/>
            </w:tcMar>
          </w:tcPr>
          <w:p w14:paraId="460EB254" w14:textId="4C559FD7" w:rsidR="001979BB" w:rsidRPr="00F375BD" w:rsidRDefault="00A70B46" w:rsidP="002402A5">
            <w:pPr>
              <w:tabs>
                <w:tab w:val="left" w:pos="10080"/>
              </w:tabs>
              <w:spacing w:after="120" w:line="240" w:lineRule="auto"/>
              <w:rPr>
                <w:rFonts w:ascii="Arial" w:hAnsi="Arial"/>
              </w:rPr>
            </w:pPr>
            <w:r>
              <w:rPr>
                <w:rFonts w:ascii="Arial" w:hAnsi="Arial"/>
              </w:rPr>
              <w:lastRenderedPageBreak/>
              <w:t>15.</w:t>
            </w:r>
          </w:p>
        </w:tc>
        <w:tc>
          <w:tcPr>
            <w:tcW w:w="1983" w:type="dxa"/>
            <w:tcMar>
              <w:top w:w="57" w:type="dxa"/>
              <w:bottom w:w="57" w:type="dxa"/>
            </w:tcMar>
          </w:tcPr>
          <w:p w14:paraId="3CDC1D21" w14:textId="77777777" w:rsidR="001979BB" w:rsidRPr="00F375BD" w:rsidRDefault="001979BB" w:rsidP="002402A5">
            <w:pPr>
              <w:tabs>
                <w:tab w:val="left" w:pos="10080"/>
              </w:tabs>
              <w:spacing w:after="120" w:line="240" w:lineRule="auto"/>
              <w:rPr>
                <w:rFonts w:ascii="Arial" w:hAnsi="Arial"/>
              </w:rPr>
            </w:pPr>
            <w:r>
              <w:rPr>
                <w:rFonts w:ascii="Arial" w:hAnsi="Arial"/>
              </w:rPr>
              <w:t>Tierces parties commerciales</w:t>
            </w:r>
          </w:p>
        </w:tc>
        <w:tc>
          <w:tcPr>
            <w:tcW w:w="7573" w:type="dxa"/>
            <w:tcMar>
              <w:top w:w="57" w:type="dxa"/>
              <w:bottom w:w="57" w:type="dxa"/>
            </w:tcMar>
          </w:tcPr>
          <w:p w14:paraId="635641F2" w14:textId="0E94D609"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Confirmez que toutes les tierces parties commerciales, y compris les tiers expéditeurs, susceptibles d’être touchées par l’issue de la demande ont été informées, et indiquez la méthode utilisée pour aviser ces parties, ainsi que toute préoccupation soulevée. Donnez une explication dans l’éventualité où la notification des tierces parties commerciales n’aurait pas été jugée nécessaire. Pour en savoir plus, consultez la section </w:t>
            </w:r>
            <w:hyperlink r:id="rId22" w:anchor="s3_5" w:history="1">
              <w:r>
                <w:rPr>
                  <w:rStyle w:val="Hyperlink"/>
                  <w:rFonts w:ascii="Arial" w:hAnsi="Arial"/>
                  <w:color w:val="4472C4" w:themeColor="accent1"/>
                </w:rPr>
                <w:t>Notification des tierces parties commerciales</w:t>
              </w:r>
            </w:hyperlink>
            <w:r>
              <w:rPr>
                <w:rFonts w:ascii="Arial" w:hAnsi="Arial"/>
                <w:color w:val="4472C4" w:themeColor="accent1"/>
              </w:rPr>
              <w:t>.</w:t>
            </w:r>
          </w:p>
        </w:tc>
      </w:tr>
      <w:tr w:rsidR="003327FD" w:rsidRPr="00391388" w14:paraId="4AAD18C3" w14:textId="77777777" w:rsidTr="38139410">
        <w:trPr>
          <w:cantSplit/>
          <w:trHeight w:val="300"/>
        </w:trPr>
        <w:tc>
          <w:tcPr>
            <w:tcW w:w="10201" w:type="dxa"/>
            <w:gridSpan w:val="3"/>
            <w:tcBorders>
              <w:left w:val="nil"/>
              <w:bottom w:val="nil"/>
              <w:right w:val="nil"/>
            </w:tcBorders>
            <w:tcMar>
              <w:top w:w="57" w:type="dxa"/>
              <w:bottom w:w="57" w:type="dxa"/>
            </w:tcMar>
          </w:tcPr>
          <w:p w14:paraId="72196EE1" w14:textId="77777777" w:rsidR="00910342" w:rsidRPr="00F375BD" w:rsidRDefault="00910342" w:rsidP="002402A5">
            <w:pPr>
              <w:tabs>
                <w:tab w:val="left" w:pos="10080"/>
              </w:tabs>
              <w:spacing w:after="120" w:line="240" w:lineRule="auto"/>
              <w:rPr>
                <w:rFonts w:ascii="Arial" w:hAnsi="Arial"/>
                <w:color w:val="000080"/>
              </w:rPr>
            </w:pPr>
          </w:p>
          <w:p w14:paraId="270A2152" w14:textId="77777777" w:rsidR="00D23F8F" w:rsidRPr="00F375BD" w:rsidRDefault="00D23F8F" w:rsidP="002402A5">
            <w:pPr>
              <w:tabs>
                <w:tab w:val="left" w:pos="10080"/>
              </w:tabs>
              <w:spacing w:after="120" w:line="240" w:lineRule="auto"/>
              <w:rPr>
                <w:rFonts w:ascii="Arial" w:hAnsi="Arial"/>
                <w:color w:val="000080"/>
              </w:rPr>
            </w:pPr>
          </w:p>
        </w:tc>
      </w:tr>
      <w:tr w:rsidR="003327FD" w:rsidRPr="00391388" w14:paraId="0B1799C5" w14:textId="77777777" w:rsidTr="38139410">
        <w:trPr>
          <w:cantSplit/>
          <w:trHeight w:val="300"/>
        </w:trPr>
        <w:tc>
          <w:tcPr>
            <w:tcW w:w="10201" w:type="dxa"/>
            <w:gridSpan w:val="3"/>
            <w:shd w:val="clear" w:color="auto" w:fill="D9D9D9" w:themeFill="background1" w:themeFillShade="D9"/>
            <w:tcMar>
              <w:top w:w="57" w:type="dxa"/>
              <w:bottom w:w="57" w:type="dxa"/>
            </w:tcMar>
          </w:tcPr>
          <w:p w14:paraId="6D9BBFBD" w14:textId="08A82C47" w:rsidR="001979BB" w:rsidRPr="00F375BD" w:rsidRDefault="001979BB" w:rsidP="002402A5">
            <w:pPr>
              <w:tabs>
                <w:tab w:val="left" w:pos="10080"/>
              </w:tabs>
              <w:spacing w:after="120" w:line="240" w:lineRule="auto"/>
              <w:rPr>
                <w:rFonts w:ascii="Arial" w:hAnsi="Arial"/>
                <w:b/>
              </w:rPr>
            </w:pPr>
            <w:r>
              <w:rPr>
                <w:rFonts w:ascii="Arial" w:hAnsi="Arial"/>
                <w:b/>
              </w:rPr>
              <w:t xml:space="preserve">Pipeline </w:t>
            </w:r>
          </w:p>
        </w:tc>
      </w:tr>
      <w:tr w:rsidR="003327FD" w:rsidRPr="00391388" w14:paraId="6934D85C" w14:textId="77777777" w:rsidTr="38139410">
        <w:trPr>
          <w:cantSplit/>
          <w:trHeight w:val="300"/>
        </w:trPr>
        <w:tc>
          <w:tcPr>
            <w:tcW w:w="645" w:type="dxa"/>
            <w:tcMar>
              <w:top w:w="57" w:type="dxa"/>
              <w:bottom w:w="57" w:type="dxa"/>
            </w:tcMar>
          </w:tcPr>
          <w:p w14:paraId="2372C175" w14:textId="2DE1F4EE" w:rsidR="001979BB" w:rsidRPr="00F375BD" w:rsidRDefault="00A70B46" w:rsidP="002402A5">
            <w:pPr>
              <w:tabs>
                <w:tab w:val="left" w:pos="10080"/>
              </w:tabs>
              <w:spacing w:after="120" w:line="240" w:lineRule="auto"/>
              <w:rPr>
                <w:rFonts w:ascii="Arial" w:hAnsi="Arial"/>
              </w:rPr>
            </w:pPr>
            <w:r>
              <w:rPr>
                <w:rFonts w:ascii="Arial" w:hAnsi="Arial"/>
              </w:rPr>
              <w:t>16.</w:t>
            </w:r>
          </w:p>
        </w:tc>
        <w:tc>
          <w:tcPr>
            <w:tcW w:w="1983" w:type="dxa"/>
            <w:tcMar>
              <w:top w:w="57" w:type="dxa"/>
              <w:bottom w:w="57" w:type="dxa"/>
            </w:tcMar>
          </w:tcPr>
          <w:p w14:paraId="04746366" w14:textId="04ABD44C" w:rsidR="001979BB" w:rsidRPr="00F375BD" w:rsidRDefault="001979BB" w:rsidP="002402A5">
            <w:pPr>
              <w:tabs>
                <w:tab w:val="left" w:pos="10080"/>
              </w:tabs>
              <w:spacing w:after="120" w:line="240" w:lineRule="auto"/>
              <w:rPr>
                <w:rFonts w:ascii="Arial" w:hAnsi="Arial"/>
              </w:rPr>
            </w:pPr>
            <w:r>
              <w:rPr>
                <w:rFonts w:ascii="Arial" w:hAnsi="Arial"/>
              </w:rPr>
              <w:t>Lieu et cartes</w:t>
            </w:r>
          </w:p>
        </w:tc>
        <w:tc>
          <w:tcPr>
            <w:tcW w:w="7573" w:type="dxa"/>
            <w:tcMar>
              <w:top w:w="57" w:type="dxa"/>
              <w:bottom w:w="57" w:type="dxa"/>
            </w:tcMar>
          </w:tcPr>
          <w:p w14:paraId="73866C41" w14:textId="055002C4" w:rsidR="009D1517" w:rsidRPr="0032079D" w:rsidRDefault="00675930" w:rsidP="002402A5">
            <w:pPr>
              <w:pStyle w:val="NormalWeb"/>
              <w:spacing w:before="0" w:beforeAutospacing="0" w:after="120" w:afterAutospacing="0"/>
              <w:rPr>
                <w:rFonts w:ascii="Arial" w:hAnsi="Arial" w:cs="Arial"/>
                <w:color w:val="4472C4" w:themeColor="accent1"/>
                <w:sz w:val="22"/>
                <w:szCs w:val="22"/>
              </w:rPr>
            </w:pPr>
            <w:r>
              <w:rPr>
                <w:rFonts w:ascii="Arial" w:hAnsi="Arial"/>
                <w:color w:val="4472C4" w:themeColor="accent1"/>
                <w:sz w:val="22"/>
              </w:rPr>
              <w:t>Fournissez une ou plusieurs cartes du pipeline ou du pipeline abandonné. La ou les cartes doivent :</w:t>
            </w:r>
          </w:p>
          <w:p w14:paraId="06F3F4CD" w14:textId="7601E2E0" w:rsidR="009D1517" w:rsidRPr="0032079D" w:rsidRDefault="009D1517" w:rsidP="002402A5">
            <w:pPr>
              <w:numPr>
                <w:ilvl w:val="0"/>
                <w:numId w:val="7"/>
              </w:numPr>
              <w:spacing w:after="120" w:line="240" w:lineRule="auto"/>
              <w:rPr>
                <w:rFonts w:ascii="Arial" w:hAnsi="Arial" w:cs="Arial"/>
                <w:color w:val="4472C4" w:themeColor="accent1"/>
              </w:rPr>
            </w:pPr>
            <w:r>
              <w:rPr>
                <w:rFonts w:ascii="Arial" w:hAnsi="Arial"/>
                <w:color w:val="4472C4" w:themeColor="accent1"/>
              </w:rPr>
              <w:t>permettre au lecteur de situer géographiquement le pipeline ou le pipeline abandonné à l’intérieur d’une région plus grande, une province par exemple;</w:t>
            </w:r>
          </w:p>
          <w:p w14:paraId="58030143" w14:textId="5F62DD20" w:rsidR="009D1517" w:rsidRPr="0032079D" w:rsidRDefault="009D1517" w:rsidP="002402A5">
            <w:pPr>
              <w:numPr>
                <w:ilvl w:val="0"/>
                <w:numId w:val="7"/>
              </w:numPr>
              <w:spacing w:after="120" w:line="240" w:lineRule="auto"/>
              <w:rPr>
                <w:rFonts w:ascii="Arial" w:hAnsi="Arial" w:cs="Arial"/>
                <w:color w:val="4472C4" w:themeColor="accent1"/>
              </w:rPr>
            </w:pPr>
            <w:r>
              <w:rPr>
                <w:rFonts w:ascii="Arial" w:hAnsi="Arial"/>
                <w:color w:val="4472C4" w:themeColor="accent1"/>
              </w:rPr>
              <w:t>renfermer des renseignements pertinents sur les installations en amont, en aval et dans les environs afin de permettre de comprendre l’importance relative du pipeline ou du pipeline abandonné;</w:t>
            </w:r>
          </w:p>
          <w:p w14:paraId="0654484D" w14:textId="77777777" w:rsidR="009D1517" w:rsidRPr="0032079D" w:rsidRDefault="009D1517" w:rsidP="002402A5">
            <w:pPr>
              <w:numPr>
                <w:ilvl w:val="0"/>
                <w:numId w:val="7"/>
              </w:numPr>
              <w:spacing w:after="120" w:line="240" w:lineRule="auto"/>
              <w:rPr>
                <w:rFonts w:ascii="Arial" w:hAnsi="Arial" w:cs="Arial"/>
                <w:color w:val="4472C4" w:themeColor="accent1"/>
              </w:rPr>
            </w:pPr>
            <w:r>
              <w:rPr>
                <w:rFonts w:ascii="Arial" w:hAnsi="Arial"/>
                <w:color w:val="4472C4" w:themeColor="accent1"/>
              </w:rPr>
              <w:t xml:space="preserve">préciser l’organisme de réglementation compétent si l’une des installations pertinentes n’est pas réglementée par la Régie; </w:t>
            </w:r>
          </w:p>
          <w:p w14:paraId="6A666718" w14:textId="77777777" w:rsidR="009D1517" w:rsidRPr="0032079D" w:rsidRDefault="009D1517" w:rsidP="002402A5">
            <w:pPr>
              <w:numPr>
                <w:ilvl w:val="0"/>
                <w:numId w:val="7"/>
              </w:numPr>
              <w:spacing w:after="120" w:line="240" w:lineRule="auto"/>
              <w:rPr>
                <w:rFonts w:ascii="Arial" w:eastAsia="Times New Roman" w:hAnsi="Arial" w:cs="Arial"/>
                <w:color w:val="4472C4" w:themeColor="accent1"/>
              </w:rPr>
            </w:pPr>
            <w:r>
              <w:rPr>
                <w:rFonts w:ascii="Arial" w:hAnsi="Arial"/>
                <w:color w:val="4472C4" w:themeColor="accent1"/>
              </w:rPr>
              <w:t>indiquer les installations qui seront délaissées ou susceptibles de l’être par suite de la transaction proposée;</w:t>
            </w:r>
          </w:p>
          <w:p w14:paraId="1C364654" w14:textId="1EAC3C58" w:rsidR="00A50086" w:rsidRPr="00BC6025" w:rsidRDefault="007E71F9" w:rsidP="002402A5">
            <w:pPr>
              <w:numPr>
                <w:ilvl w:val="0"/>
                <w:numId w:val="7"/>
              </w:numPr>
              <w:spacing w:after="120" w:line="240" w:lineRule="auto"/>
              <w:rPr>
                <w:rFonts w:ascii="Arial" w:eastAsia="Times New Roman" w:hAnsi="Arial" w:cs="Arial"/>
              </w:rPr>
            </w:pPr>
            <w:r>
              <w:rPr>
                <w:rFonts w:ascii="Arial" w:hAnsi="Arial"/>
                <w:color w:val="4472C4" w:themeColor="accent1"/>
              </w:rPr>
              <w:t xml:space="preserve">satisfaire aux exigences énoncées à la </w:t>
            </w:r>
            <w:hyperlink r:id="rId23" w:anchor="s1_12" w:history="1">
              <w:r>
                <w:rPr>
                  <w:rStyle w:val="Hyperlink"/>
                  <w:rFonts w:ascii="Arial" w:hAnsi="Arial"/>
                  <w:color w:val="4472C4" w:themeColor="accent1"/>
                </w:rPr>
                <w:t>section 1.12</w:t>
              </w:r>
            </w:hyperlink>
            <w:r>
              <w:rPr>
                <w:rFonts w:ascii="Arial" w:hAnsi="Arial"/>
                <w:color w:val="4472C4" w:themeColor="accent1"/>
              </w:rPr>
              <w:t xml:space="preserve"> du Guide de dépôt.</w:t>
            </w:r>
          </w:p>
        </w:tc>
      </w:tr>
      <w:tr w:rsidR="003327FD" w:rsidRPr="00391388" w14:paraId="38912679" w14:textId="77777777" w:rsidTr="38139410">
        <w:trPr>
          <w:cantSplit/>
          <w:trHeight w:val="300"/>
        </w:trPr>
        <w:tc>
          <w:tcPr>
            <w:tcW w:w="645" w:type="dxa"/>
            <w:tcMar>
              <w:top w:w="57" w:type="dxa"/>
              <w:bottom w:w="57" w:type="dxa"/>
            </w:tcMar>
          </w:tcPr>
          <w:p w14:paraId="2B5D2514" w14:textId="415A45B7" w:rsidR="001979BB" w:rsidRPr="00F375BD" w:rsidRDefault="00A70B46" w:rsidP="002402A5">
            <w:pPr>
              <w:tabs>
                <w:tab w:val="left" w:pos="10080"/>
              </w:tabs>
              <w:spacing w:after="120" w:line="240" w:lineRule="auto"/>
              <w:rPr>
                <w:rFonts w:ascii="Arial" w:hAnsi="Arial"/>
              </w:rPr>
            </w:pPr>
            <w:r>
              <w:rPr>
                <w:rFonts w:ascii="Arial" w:hAnsi="Arial"/>
              </w:rPr>
              <w:t>17.</w:t>
            </w:r>
          </w:p>
        </w:tc>
        <w:tc>
          <w:tcPr>
            <w:tcW w:w="1983" w:type="dxa"/>
            <w:tcMar>
              <w:top w:w="57" w:type="dxa"/>
              <w:bottom w:w="57" w:type="dxa"/>
            </w:tcMar>
          </w:tcPr>
          <w:p w14:paraId="2F643A12" w14:textId="77777777" w:rsidR="001979BB" w:rsidRPr="00F375BD" w:rsidRDefault="001979BB" w:rsidP="002402A5">
            <w:pPr>
              <w:tabs>
                <w:tab w:val="left" w:pos="10080"/>
              </w:tabs>
              <w:spacing w:after="120" w:line="240" w:lineRule="auto"/>
              <w:rPr>
                <w:rFonts w:ascii="Arial" w:hAnsi="Arial"/>
              </w:rPr>
            </w:pPr>
            <w:r>
              <w:rPr>
                <w:rFonts w:ascii="Arial" w:hAnsi="Arial"/>
              </w:rPr>
              <w:t>Description</w:t>
            </w:r>
          </w:p>
        </w:tc>
        <w:tc>
          <w:tcPr>
            <w:tcW w:w="7573" w:type="dxa"/>
            <w:tcMar>
              <w:top w:w="57" w:type="dxa"/>
              <w:bottom w:w="57" w:type="dxa"/>
            </w:tcMar>
          </w:tcPr>
          <w:p w14:paraId="33149B28" w14:textId="0E49DA1E"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Donnez une description complète de chaque pipeline et pipeline abandonné, y compris leur dénomination sociale et, s’il y a lieu, les produits qui sont ou seront transportés.</w:t>
            </w:r>
          </w:p>
        </w:tc>
      </w:tr>
      <w:tr w:rsidR="003327FD" w:rsidRPr="00391388" w14:paraId="698293D4" w14:textId="77777777" w:rsidTr="38139410">
        <w:trPr>
          <w:cantSplit/>
          <w:trHeight w:val="300"/>
        </w:trPr>
        <w:tc>
          <w:tcPr>
            <w:tcW w:w="645" w:type="dxa"/>
            <w:tcMar>
              <w:top w:w="57" w:type="dxa"/>
              <w:bottom w:w="57" w:type="dxa"/>
            </w:tcMar>
          </w:tcPr>
          <w:p w14:paraId="337DBABD" w14:textId="0192422B" w:rsidR="001979BB" w:rsidRPr="00F375BD" w:rsidRDefault="00A70B46" w:rsidP="002402A5">
            <w:pPr>
              <w:tabs>
                <w:tab w:val="left" w:pos="10080"/>
              </w:tabs>
              <w:spacing w:after="120" w:line="240" w:lineRule="auto"/>
              <w:rPr>
                <w:rFonts w:ascii="Arial" w:hAnsi="Arial"/>
              </w:rPr>
            </w:pPr>
            <w:r>
              <w:rPr>
                <w:rFonts w:ascii="Arial" w:hAnsi="Arial"/>
              </w:rPr>
              <w:t>18.</w:t>
            </w:r>
          </w:p>
        </w:tc>
        <w:tc>
          <w:tcPr>
            <w:tcW w:w="1983" w:type="dxa"/>
            <w:tcMar>
              <w:top w:w="57" w:type="dxa"/>
              <w:bottom w:w="57" w:type="dxa"/>
            </w:tcMar>
          </w:tcPr>
          <w:p w14:paraId="7971A2C6" w14:textId="77777777" w:rsidR="001979BB" w:rsidRPr="00F375BD" w:rsidRDefault="001979BB" w:rsidP="002402A5">
            <w:pPr>
              <w:tabs>
                <w:tab w:val="left" w:pos="10080"/>
              </w:tabs>
              <w:spacing w:after="120" w:line="240" w:lineRule="auto"/>
              <w:rPr>
                <w:rFonts w:ascii="Arial" w:hAnsi="Arial"/>
              </w:rPr>
            </w:pPr>
            <w:r>
              <w:rPr>
                <w:rFonts w:ascii="Arial" w:hAnsi="Arial"/>
              </w:rPr>
              <w:t>Installations en amont et en aval</w:t>
            </w:r>
          </w:p>
        </w:tc>
        <w:tc>
          <w:tcPr>
            <w:tcW w:w="7573" w:type="dxa"/>
            <w:tcMar>
              <w:top w:w="57" w:type="dxa"/>
              <w:bottom w:w="57" w:type="dxa"/>
            </w:tcMar>
          </w:tcPr>
          <w:p w14:paraId="177E7606" w14:textId="0D3EE55A"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Décrivez les installations en amont et en aval et mentionnez toute installation qui pourrait être délaissée par suite de la transaction proposée. </w:t>
            </w:r>
          </w:p>
        </w:tc>
      </w:tr>
      <w:tr w:rsidR="003327FD" w:rsidRPr="00391388" w14:paraId="0738E99A" w14:textId="77777777" w:rsidTr="38139410">
        <w:trPr>
          <w:cantSplit/>
          <w:trHeight w:val="300"/>
        </w:trPr>
        <w:tc>
          <w:tcPr>
            <w:tcW w:w="645" w:type="dxa"/>
            <w:tcMar>
              <w:top w:w="57" w:type="dxa"/>
              <w:bottom w:w="57" w:type="dxa"/>
            </w:tcMar>
          </w:tcPr>
          <w:p w14:paraId="516E0913" w14:textId="33756676" w:rsidR="001979BB" w:rsidRPr="00F375BD" w:rsidRDefault="00A70B46" w:rsidP="002402A5">
            <w:pPr>
              <w:tabs>
                <w:tab w:val="left" w:pos="10080"/>
              </w:tabs>
              <w:spacing w:after="120" w:line="240" w:lineRule="auto"/>
              <w:rPr>
                <w:rFonts w:ascii="Arial" w:hAnsi="Arial"/>
              </w:rPr>
            </w:pPr>
            <w:r>
              <w:rPr>
                <w:rFonts w:ascii="Arial" w:hAnsi="Arial"/>
              </w:rPr>
              <w:t>19.</w:t>
            </w:r>
          </w:p>
        </w:tc>
        <w:tc>
          <w:tcPr>
            <w:tcW w:w="1983" w:type="dxa"/>
            <w:tcMar>
              <w:top w:w="57" w:type="dxa"/>
              <w:bottom w:w="57" w:type="dxa"/>
            </w:tcMar>
          </w:tcPr>
          <w:p w14:paraId="055F0EAC" w14:textId="77777777" w:rsidR="001979BB" w:rsidRPr="00F375BD" w:rsidRDefault="001979BB" w:rsidP="002402A5">
            <w:pPr>
              <w:tabs>
                <w:tab w:val="left" w:pos="10080"/>
              </w:tabs>
              <w:spacing w:after="120" w:line="240" w:lineRule="auto"/>
              <w:rPr>
                <w:rFonts w:ascii="Arial" w:hAnsi="Arial"/>
              </w:rPr>
            </w:pPr>
            <w:r>
              <w:rPr>
                <w:rFonts w:ascii="Arial" w:hAnsi="Arial"/>
              </w:rPr>
              <w:t>Caractéristiques techniques</w:t>
            </w:r>
          </w:p>
        </w:tc>
        <w:tc>
          <w:tcPr>
            <w:tcW w:w="7573" w:type="dxa"/>
            <w:tcMar>
              <w:top w:w="57" w:type="dxa"/>
              <w:bottom w:w="57" w:type="dxa"/>
            </w:tcMar>
          </w:tcPr>
          <w:p w14:paraId="2AC29E20" w14:textId="2A062CEF"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Précisez le diamètre extérieur du pipeline ou du pipeline abandonné et l’épaisseur de paroi.</w:t>
            </w:r>
          </w:p>
        </w:tc>
      </w:tr>
      <w:tr w:rsidR="003327FD" w:rsidRPr="00391388" w14:paraId="17E74911" w14:textId="77777777" w:rsidTr="38139410">
        <w:trPr>
          <w:cantSplit/>
          <w:trHeight w:val="300"/>
        </w:trPr>
        <w:tc>
          <w:tcPr>
            <w:tcW w:w="645" w:type="dxa"/>
            <w:tcMar>
              <w:top w:w="57" w:type="dxa"/>
              <w:bottom w:w="57" w:type="dxa"/>
            </w:tcMar>
          </w:tcPr>
          <w:p w14:paraId="2D66605C" w14:textId="288BEAB7" w:rsidR="001979BB" w:rsidRPr="00F375BD" w:rsidDel="00B4445B" w:rsidRDefault="00A70B46" w:rsidP="002402A5">
            <w:pPr>
              <w:tabs>
                <w:tab w:val="left" w:pos="10080"/>
              </w:tabs>
              <w:spacing w:after="120" w:line="240" w:lineRule="auto"/>
              <w:rPr>
                <w:rFonts w:ascii="Arial" w:hAnsi="Arial"/>
              </w:rPr>
            </w:pPr>
            <w:r>
              <w:rPr>
                <w:rFonts w:ascii="Arial" w:hAnsi="Arial"/>
              </w:rPr>
              <w:t>20.</w:t>
            </w:r>
          </w:p>
        </w:tc>
        <w:tc>
          <w:tcPr>
            <w:tcW w:w="1983" w:type="dxa"/>
            <w:tcMar>
              <w:top w:w="57" w:type="dxa"/>
              <w:bottom w:w="57" w:type="dxa"/>
            </w:tcMar>
          </w:tcPr>
          <w:p w14:paraId="4B8B71BA" w14:textId="77777777" w:rsidR="001979BB" w:rsidRPr="00F375BD" w:rsidRDefault="001979BB" w:rsidP="002402A5">
            <w:pPr>
              <w:tabs>
                <w:tab w:val="left" w:pos="10080"/>
              </w:tabs>
              <w:spacing w:after="120" w:line="240" w:lineRule="auto"/>
              <w:rPr>
                <w:rFonts w:ascii="Arial" w:hAnsi="Arial"/>
              </w:rPr>
            </w:pPr>
            <w:r>
              <w:rPr>
                <w:rFonts w:ascii="Arial" w:hAnsi="Arial"/>
              </w:rPr>
              <w:t>Matériau du tube</w:t>
            </w:r>
          </w:p>
        </w:tc>
        <w:tc>
          <w:tcPr>
            <w:tcW w:w="7573" w:type="dxa"/>
            <w:tcMar>
              <w:top w:w="57" w:type="dxa"/>
              <w:bottom w:w="57" w:type="dxa"/>
            </w:tcMar>
          </w:tcPr>
          <w:p w14:paraId="3F96D146" w14:textId="77777777"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Indiquez le matériau et la nuance du tube, la norme qui s’applique, le procédé de fabrication et le type de revêtement extérieur. </w:t>
            </w:r>
          </w:p>
        </w:tc>
      </w:tr>
      <w:tr w:rsidR="003327FD" w:rsidRPr="00391388" w14:paraId="7BF0A5A4" w14:textId="77777777" w:rsidTr="38139410">
        <w:trPr>
          <w:cantSplit/>
          <w:trHeight w:val="300"/>
        </w:trPr>
        <w:tc>
          <w:tcPr>
            <w:tcW w:w="645" w:type="dxa"/>
            <w:tcMar>
              <w:top w:w="57" w:type="dxa"/>
              <w:bottom w:w="57" w:type="dxa"/>
            </w:tcMar>
          </w:tcPr>
          <w:p w14:paraId="1EEAD477" w14:textId="2E68A89C" w:rsidR="001979BB" w:rsidRPr="00F375BD" w:rsidDel="00B4445B" w:rsidRDefault="00A70B46" w:rsidP="002402A5">
            <w:pPr>
              <w:tabs>
                <w:tab w:val="left" w:pos="10080"/>
              </w:tabs>
              <w:spacing w:after="120" w:line="240" w:lineRule="auto"/>
              <w:rPr>
                <w:rFonts w:ascii="Arial" w:hAnsi="Arial"/>
              </w:rPr>
            </w:pPr>
            <w:r>
              <w:rPr>
                <w:rFonts w:ascii="Arial" w:hAnsi="Arial"/>
              </w:rPr>
              <w:t>21.</w:t>
            </w:r>
          </w:p>
        </w:tc>
        <w:tc>
          <w:tcPr>
            <w:tcW w:w="1983" w:type="dxa"/>
            <w:tcMar>
              <w:top w:w="57" w:type="dxa"/>
              <w:bottom w:w="57" w:type="dxa"/>
            </w:tcMar>
          </w:tcPr>
          <w:p w14:paraId="31E5910E" w14:textId="77777777" w:rsidR="001979BB" w:rsidRPr="00F375BD" w:rsidRDefault="001979BB" w:rsidP="002402A5">
            <w:pPr>
              <w:tabs>
                <w:tab w:val="left" w:pos="10080"/>
              </w:tabs>
              <w:spacing w:after="120" w:line="240" w:lineRule="auto"/>
              <w:rPr>
                <w:rFonts w:ascii="Arial" w:hAnsi="Arial"/>
              </w:rPr>
            </w:pPr>
            <w:r>
              <w:rPr>
                <w:rFonts w:ascii="Arial" w:hAnsi="Arial"/>
              </w:rPr>
              <w:t>Pression maximale d’exploitation</w:t>
            </w:r>
          </w:p>
        </w:tc>
        <w:tc>
          <w:tcPr>
            <w:tcW w:w="7573" w:type="dxa"/>
            <w:tcMar>
              <w:top w:w="57" w:type="dxa"/>
              <w:bottom w:w="57" w:type="dxa"/>
            </w:tcMar>
          </w:tcPr>
          <w:p w14:paraId="4EFA85ED" w14:textId="77777777"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Indiquez la pression maximale d’exploitation du pipeline.</w:t>
            </w:r>
          </w:p>
        </w:tc>
      </w:tr>
      <w:tr w:rsidR="003327FD" w:rsidRPr="00391388" w14:paraId="22DA32AA" w14:textId="77777777" w:rsidTr="38139410">
        <w:trPr>
          <w:cantSplit/>
          <w:trHeight w:val="300"/>
        </w:trPr>
        <w:tc>
          <w:tcPr>
            <w:tcW w:w="645" w:type="dxa"/>
            <w:tcMar>
              <w:top w:w="57" w:type="dxa"/>
              <w:bottom w:w="57" w:type="dxa"/>
            </w:tcMar>
          </w:tcPr>
          <w:p w14:paraId="5A0F8EE5" w14:textId="5A1ADE7B" w:rsidR="001979BB" w:rsidRPr="00F375BD" w:rsidRDefault="00A70B46" w:rsidP="002402A5">
            <w:pPr>
              <w:tabs>
                <w:tab w:val="left" w:pos="10080"/>
              </w:tabs>
              <w:spacing w:after="120" w:line="240" w:lineRule="auto"/>
              <w:rPr>
                <w:rFonts w:ascii="Arial" w:hAnsi="Arial"/>
              </w:rPr>
            </w:pPr>
            <w:r>
              <w:rPr>
                <w:rFonts w:ascii="Arial" w:hAnsi="Arial"/>
              </w:rPr>
              <w:lastRenderedPageBreak/>
              <w:t>22.</w:t>
            </w:r>
          </w:p>
        </w:tc>
        <w:tc>
          <w:tcPr>
            <w:tcW w:w="1983" w:type="dxa"/>
            <w:tcMar>
              <w:top w:w="57" w:type="dxa"/>
              <w:bottom w:w="57" w:type="dxa"/>
            </w:tcMar>
          </w:tcPr>
          <w:p w14:paraId="21E9CD05" w14:textId="5CFE3735" w:rsidR="001979BB" w:rsidRPr="00F375BD" w:rsidRDefault="001979BB" w:rsidP="002402A5">
            <w:pPr>
              <w:tabs>
                <w:tab w:val="left" w:pos="10080"/>
              </w:tabs>
              <w:spacing w:after="120" w:line="240" w:lineRule="auto"/>
              <w:rPr>
                <w:rFonts w:ascii="Arial" w:hAnsi="Arial"/>
              </w:rPr>
            </w:pPr>
            <w:r>
              <w:rPr>
                <w:rFonts w:ascii="Arial" w:hAnsi="Arial"/>
              </w:rPr>
              <w:t>Utilisation à long terme</w:t>
            </w:r>
          </w:p>
        </w:tc>
        <w:tc>
          <w:tcPr>
            <w:tcW w:w="7573" w:type="dxa"/>
            <w:tcMar>
              <w:top w:w="57" w:type="dxa"/>
              <w:bottom w:w="57" w:type="dxa"/>
            </w:tcMar>
          </w:tcPr>
          <w:p w14:paraId="216B0CE3" w14:textId="3A8109E7"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Décrivez l’utilisation actuelle du pipeline. Confirmez que l’utilisation à long terme prévue ne changera pas ou décrivez l’utilisation à long terme prévue si elle diffère de l’utilisation actuelle.</w:t>
            </w:r>
          </w:p>
        </w:tc>
      </w:tr>
      <w:tr w:rsidR="003327FD" w:rsidRPr="00391388" w14:paraId="7E9D7ABD" w14:textId="77777777" w:rsidTr="38139410">
        <w:trPr>
          <w:cantSplit/>
          <w:trHeight w:val="300"/>
        </w:trPr>
        <w:tc>
          <w:tcPr>
            <w:tcW w:w="645" w:type="dxa"/>
            <w:tcMar>
              <w:top w:w="57" w:type="dxa"/>
              <w:bottom w:w="57" w:type="dxa"/>
            </w:tcMar>
          </w:tcPr>
          <w:p w14:paraId="27D66133" w14:textId="594BD5E1" w:rsidR="001979BB" w:rsidRPr="00F375BD" w:rsidRDefault="00A70B46" w:rsidP="002402A5">
            <w:pPr>
              <w:tabs>
                <w:tab w:val="left" w:pos="10080"/>
              </w:tabs>
              <w:spacing w:after="120" w:line="240" w:lineRule="auto"/>
              <w:rPr>
                <w:rFonts w:ascii="Arial" w:hAnsi="Arial"/>
              </w:rPr>
            </w:pPr>
            <w:r>
              <w:rPr>
                <w:rFonts w:ascii="Arial" w:hAnsi="Arial"/>
              </w:rPr>
              <w:t>23.</w:t>
            </w:r>
          </w:p>
        </w:tc>
        <w:tc>
          <w:tcPr>
            <w:tcW w:w="1983" w:type="dxa"/>
            <w:tcMar>
              <w:top w:w="57" w:type="dxa"/>
              <w:bottom w:w="57" w:type="dxa"/>
            </w:tcMar>
          </w:tcPr>
          <w:p w14:paraId="665BB944" w14:textId="77777777" w:rsidR="001979BB" w:rsidRPr="00F375BD" w:rsidRDefault="001979BB" w:rsidP="002402A5">
            <w:pPr>
              <w:tabs>
                <w:tab w:val="left" w:pos="10080"/>
              </w:tabs>
              <w:spacing w:after="120" w:line="240" w:lineRule="auto"/>
              <w:rPr>
                <w:rFonts w:ascii="Arial" w:hAnsi="Arial"/>
              </w:rPr>
            </w:pPr>
            <w:r>
              <w:rPr>
                <w:rFonts w:ascii="Arial" w:hAnsi="Arial"/>
              </w:rPr>
              <w:t>État d’exploitation</w:t>
            </w:r>
          </w:p>
        </w:tc>
        <w:tc>
          <w:tcPr>
            <w:tcW w:w="7573" w:type="dxa"/>
            <w:tcMar>
              <w:top w:w="57" w:type="dxa"/>
              <w:bottom w:w="57" w:type="dxa"/>
            </w:tcMar>
          </w:tcPr>
          <w:p w14:paraId="67DF5A70" w14:textId="2DABA00E"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Décrivez l’état d’exploitation du pipeline (c.-à-d. s’il est actuellement en service, désactivé, désaffecté ou abandonné). Si l’état d’exploitation a changé ou changera, le dépôt de renseignements supplémentaires ou de demandes pourrait être nécessaire. Consultez le </w:t>
            </w:r>
            <w:hyperlink r:id="rId24" w:history="1">
              <w:r>
                <w:rPr>
                  <w:rStyle w:val="Hyperlink"/>
                  <w:rFonts w:ascii="Arial" w:hAnsi="Arial"/>
                  <w:color w:val="4472C4" w:themeColor="accent1"/>
                </w:rPr>
                <w:t>Guide de dépôt</w:t>
              </w:r>
            </w:hyperlink>
            <w:r>
              <w:rPr>
                <w:rFonts w:ascii="Arial" w:hAnsi="Arial"/>
                <w:color w:val="4472C4" w:themeColor="accent1"/>
              </w:rPr>
              <w:t xml:space="preserve"> ou le personnel de la Régie.</w:t>
            </w:r>
          </w:p>
        </w:tc>
      </w:tr>
      <w:tr w:rsidR="003327FD" w:rsidRPr="00391388" w14:paraId="7C988FF8" w14:textId="77777777" w:rsidTr="38139410">
        <w:trPr>
          <w:cantSplit/>
          <w:trHeight w:val="300"/>
        </w:trPr>
        <w:tc>
          <w:tcPr>
            <w:tcW w:w="645" w:type="dxa"/>
            <w:tcMar>
              <w:top w:w="57" w:type="dxa"/>
              <w:bottom w:w="57" w:type="dxa"/>
            </w:tcMar>
          </w:tcPr>
          <w:p w14:paraId="7A7A8EC1" w14:textId="6DD94B79" w:rsidR="001979BB" w:rsidRPr="00F375BD" w:rsidRDefault="00A70B46" w:rsidP="002402A5">
            <w:pPr>
              <w:tabs>
                <w:tab w:val="left" w:pos="10080"/>
              </w:tabs>
              <w:spacing w:after="120" w:line="240" w:lineRule="auto"/>
              <w:rPr>
                <w:rFonts w:ascii="Arial" w:hAnsi="Arial"/>
              </w:rPr>
            </w:pPr>
            <w:r>
              <w:rPr>
                <w:rFonts w:ascii="Arial" w:hAnsi="Arial"/>
              </w:rPr>
              <w:t>24.</w:t>
            </w:r>
          </w:p>
        </w:tc>
        <w:tc>
          <w:tcPr>
            <w:tcW w:w="1983" w:type="dxa"/>
            <w:tcMar>
              <w:top w:w="57" w:type="dxa"/>
              <w:bottom w:w="57" w:type="dxa"/>
            </w:tcMar>
          </w:tcPr>
          <w:p w14:paraId="4AC38A1C" w14:textId="77777777" w:rsidR="001979BB" w:rsidRPr="00F375BD" w:rsidRDefault="001979BB" w:rsidP="002402A5">
            <w:pPr>
              <w:tabs>
                <w:tab w:val="left" w:pos="10080"/>
              </w:tabs>
              <w:spacing w:after="120" w:line="240" w:lineRule="auto"/>
              <w:rPr>
                <w:rFonts w:ascii="Arial" w:hAnsi="Arial"/>
              </w:rPr>
            </w:pPr>
            <w:r>
              <w:rPr>
                <w:rFonts w:ascii="Arial" w:hAnsi="Arial"/>
              </w:rPr>
              <w:t>Conditions du service</w:t>
            </w:r>
          </w:p>
        </w:tc>
        <w:tc>
          <w:tcPr>
            <w:tcW w:w="7573" w:type="dxa"/>
            <w:tcMar>
              <w:top w:w="57" w:type="dxa"/>
              <w:bottom w:w="57" w:type="dxa"/>
            </w:tcMar>
          </w:tcPr>
          <w:p w14:paraId="321402E0" w14:textId="66113C4E" w:rsidR="00526F17" w:rsidRPr="00F404FB" w:rsidRDefault="00526F17" w:rsidP="002402A5">
            <w:pPr>
              <w:tabs>
                <w:tab w:val="left" w:pos="10080"/>
              </w:tabs>
              <w:spacing w:after="120" w:line="240" w:lineRule="auto"/>
              <w:rPr>
                <w:rFonts w:ascii="Arial" w:hAnsi="Arial"/>
                <w:color w:val="4472C4" w:themeColor="accent1"/>
              </w:rPr>
            </w:pPr>
            <w:r>
              <w:rPr>
                <w:rFonts w:ascii="Arial" w:hAnsi="Arial"/>
                <w:color w:val="4472C4" w:themeColor="accent1"/>
              </w:rPr>
              <w:t>Si des changements sont proposés aux conditions du service offert sur le pipeline :</w:t>
            </w:r>
            <w:r w:rsidR="002402A5">
              <w:rPr>
                <w:rFonts w:ascii="Arial" w:hAnsi="Arial"/>
                <w:color w:val="4472C4" w:themeColor="accent1"/>
              </w:rPr>
              <w:t xml:space="preserve"> </w:t>
            </w:r>
          </w:p>
          <w:p w14:paraId="71B63B29" w14:textId="3A728E1D" w:rsidR="00526F17" w:rsidRPr="00F404FB" w:rsidRDefault="00526F17" w:rsidP="002402A5">
            <w:pPr>
              <w:pStyle w:val="ListParagraph"/>
              <w:numPr>
                <w:ilvl w:val="0"/>
                <w:numId w:val="13"/>
              </w:numPr>
              <w:tabs>
                <w:tab w:val="left" w:pos="10080"/>
              </w:tabs>
              <w:spacing w:after="120" w:line="240" w:lineRule="auto"/>
              <w:ind w:left="714" w:hanging="357"/>
              <w:contextualSpacing w:val="0"/>
              <w:rPr>
                <w:rFonts w:ascii="Arial" w:hAnsi="Arial"/>
                <w:color w:val="4472C4" w:themeColor="accent1"/>
              </w:rPr>
            </w:pPr>
            <w:r>
              <w:rPr>
                <w:rFonts w:ascii="Arial" w:hAnsi="Arial"/>
                <w:color w:val="4472C4" w:themeColor="accent1"/>
              </w:rPr>
              <w:t>expliquer tout changement prévu au type ou aux conditions du service;</w:t>
            </w:r>
          </w:p>
          <w:p w14:paraId="78F76A6C" w14:textId="7ED41D50" w:rsidR="00526F17" w:rsidRPr="00F404FB" w:rsidRDefault="00526F17" w:rsidP="002402A5">
            <w:pPr>
              <w:pStyle w:val="ListParagraph"/>
              <w:numPr>
                <w:ilvl w:val="0"/>
                <w:numId w:val="13"/>
              </w:numPr>
              <w:tabs>
                <w:tab w:val="left" w:pos="10080"/>
              </w:tabs>
              <w:spacing w:after="120" w:line="240" w:lineRule="auto"/>
              <w:ind w:left="714" w:hanging="357"/>
              <w:contextualSpacing w:val="0"/>
              <w:rPr>
                <w:rFonts w:ascii="Arial" w:hAnsi="Arial"/>
                <w:color w:val="4472C4" w:themeColor="accent1"/>
              </w:rPr>
            </w:pPr>
            <w:r>
              <w:rPr>
                <w:rFonts w:ascii="Arial" w:hAnsi="Arial"/>
                <w:color w:val="4472C4" w:themeColor="accent1"/>
              </w:rPr>
              <w:t>préciser l’incidence des changements prévus sur l’exploitation du pipeline.</w:t>
            </w:r>
          </w:p>
          <w:p w14:paraId="4A9621B9" w14:textId="01081887" w:rsidR="001979BB" w:rsidRPr="00F375BD"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Si des changements sont proposés aux conditions du service, le dépôt de renseignements supplémentaires ou de demandes pourrait être nécessaire. Consultez le </w:t>
            </w:r>
            <w:hyperlink r:id="rId25" w:history="1">
              <w:r>
                <w:rPr>
                  <w:rStyle w:val="Hyperlink"/>
                  <w:rFonts w:ascii="Arial" w:hAnsi="Arial"/>
                  <w:color w:val="4472C4" w:themeColor="accent1"/>
                </w:rPr>
                <w:t>Guide de dépôt</w:t>
              </w:r>
            </w:hyperlink>
            <w:r>
              <w:rPr>
                <w:rFonts w:ascii="Arial" w:hAnsi="Arial"/>
                <w:color w:val="4472C4" w:themeColor="accent1"/>
              </w:rPr>
              <w:t xml:space="preserve"> ou le personnel de la Régie.</w:t>
            </w:r>
          </w:p>
        </w:tc>
      </w:tr>
    </w:tbl>
    <w:p w14:paraId="03D80E2A" w14:textId="77777777" w:rsidR="00910342" w:rsidRPr="00F375BD" w:rsidRDefault="00910342" w:rsidP="002402A5">
      <w:pPr>
        <w:spacing w:after="120" w:line="240" w:lineRule="auto"/>
        <w:rPr>
          <w:rFonts w:ascii="Arial" w:hAnsi="Arial"/>
        </w:rPr>
      </w:pPr>
    </w:p>
    <w:p w14:paraId="0931BB7D" w14:textId="77777777" w:rsidR="00D23F8F" w:rsidRPr="00F375BD" w:rsidRDefault="00D23F8F" w:rsidP="002402A5">
      <w:pPr>
        <w:spacing w:after="120" w:line="240" w:lineRule="auto"/>
        <w:rPr>
          <w:rFonts w:ascii="Arial" w:hAnsi="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42"/>
        <w:gridCol w:w="7556"/>
        <w:gridCol w:w="36"/>
      </w:tblGrid>
      <w:tr w:rsidR="003327FD" w:rsidRPr="00391388" w14:paraId="05E1D4B0" w14:textId="77777777" w:rsidTr="4B15D3E6">
        <w:trPr>
          <w:cantSplit/>
          <w:trHeight w:val="300"/>
        </w:trPr>
        <w:tc>
          <w:tcPr>
            <w:tcW w:w="10201" w:type="dxa"/>
            <w:gridSpan w:val="4"/>
            <w:shd w:val="clear" w:color="auto" w:fill="D9D9D9" w:themeFill="background1" w:themeFillShade="D9"/>
            <w:tcMar>
              <w:top w:w="57" w:type="dxa"/>
              <w:bottom w:w="57" w:type="dxa"/>
            </w:tcMar>
          </w:tcPr>
          <w:p w14:paraId="0272B6F7" w14:textId="7EA17401" w:rsidR="001979BB" w:rsidRPr="00F375BD" w:rsidRDefault="001979BB" w:rsidP="002402A5">
            <w:pPr>
              <w:keepNext/>
              <w:tabs>
                <w:tab w:val="left" w:pos="10080"/>
              </w:tabs>
              <w:spacing w:after="120" w:line="240" w:lineRule="auto"/>
              <w:rPr>
                <w:rFonts w:ascii="Arial" w:hAnsi="Arial"/>
                <w:b/>
                <w:bCs/>
              </w:rPr>
            </w:pPr>
            <w:r>
              <w:rPr>
                <w:rFonts w:ascii="Arial" w:hAnsi="Arial"/>
                <w:b/>
              </w:rPr>
              <w:t xml:space="preserve">Questions financières </w:t>
            </w:r>
          </w:p>
        </w:tc>
      </w:tr>
      <w:tr w:rsidR="003327FD" w:rsidRPr="00391388" w14:paraId="05DCE9A2" w14:textId="77777777" w:rsidTr="4B15D3E6">
        <w:trPr>
          <w:cantSplit/>
          <w:trHeight w:val="300"/>
        </w:trPr>
        <w:tc>
          <w:tcPr>
            <w:tcW w:w="567" w:type="dxa"/>
            <w:tcMar>
              <w:top w:w="57" w:type="dxa"/>
              <w:bottom w:w="57" w:type="dxa"/>
            </w:tcMar>
          </w:tcPr>
          <w:p w14:paraId="43A904D5" w14:textId="738D3FDB" w:rsidR="001979BB" w:rsidRPr="00F375BD" w:rsidRDefault="00A70B46" w:rsidP="002402A5">
            <w:pPr>
              <w:tabs>
                <w:tab w:val="left" w:pos="10080"/>
              </w:tabs>
              <w:spacing w:after="120" w:line="240" w:lineRule="auto"/>
              <w:rPr>
                <w:rFonts w:ascii="Arial" w:hAnsi="Arial"/>
              </w:rPr>
            </w:pPr>
            <w:r>
              <w:rPr>
                <w:rFonts w:ascii="Arial" w:hAnsi="Arial"/>
              </w:rPr>
              <w:t>25.</w:t>
            </w:r>
          </w:p>
        </w:tc>
        <w:tc>
          <w:tcPr>
            <w:tcW w:w="2042" w:type="dxa"/>
            <w:tcMar>
              <w:top w:w="57" w:type="dxa"/>
              <w:bottom w:w="57" w:type="dxa"/>
            </w:tcMar>
          </w:tcPr>
          <w:p w14:paraId="462B463F" w14:textId="77777777" w:rsidR="001979BB" w:rsidRPr="00F375BD" w:rsidRDefault="001979BB" w:rsidP="002402A5">
            <w:pPr>
              <w:tabs>
                <w:tab w:val="left" w:pos="10080"/>
              </w:tabs>
              <w:spacing w:after="120" w:line="240" w:lineRule="auto"/>
              <w:rPr>
                <w:rFonts w:ascii="Arial" w:hAnsi="Arial"/>
              </w:rPr>
            </w:pPr>
            <w:r>
              <w:rPr>
                <w:rFonts w:ascii="Arial" w:hAnsi="Arial"/>
              </w:rPr>
              <w:t>Droits et tarifs</w:t>
            </w:r>
          </w:p>
        </w:tc>
        <w:tc>
          <w:tcPr>
            <w:tcW w:w="7592" w:type="dxa"/>
            <w:gridSpan w:val="2"/>
            <w:tcMar>
              <w:top w:w="57" w:type="dxa"/>
              <w:bottom w:w="57" w:type="dxa"/>
            </w:tcMar>
          </w:tcPr>
          <w:p w14:paraId="5B30DF9E" w14:textId="22D26BDE" w:rsidR="00A332C3" w:rsidRPr="00F404FB" w:rsidRDefault="001979BB" w:rsidP="002402A5">
            <w:pPr>
              <w:tabs>
                <w:tab w:val="left" w:pos="10080"/>
              </w:tabs>
              <w:spacing w:after="120" w:line="240" w:lineRule="auto"/>
              <w:rPr>
                <w:rFonts w:ascii="Arial" w:hAnsi="Arial"/>
                <w:color w:val="4472C4" w:themeColor="accent1"/>
              </w:rPr>
            </w:pPr>
            <w:r>
              <w:rPr>
                <w:rFonts w:ascii="Arial" w:hAnsi="Arial"/>
                <w:color w:val="4472C4" w:themeColor="accent1"/>
              </w:rPr>
              <w:t>Si un droit, un tarif ou un règlement négocié est actuellement en vigueur, décrivez tout changement prévu. Si aucun droit, tarif ou règlement négocié n’est actuellement en vigueur, mais qu’il est prévu que des tiers expéditeurs auront besoin de services sur le pipeline, déposez un tarif proposé.</w:t>
            </w:r>
          </w:p>
          <w:p w14:paraId="0532B881" w14:textId="2C3A7F42" w:rsidR="001979BB" w:rsidRPr="00F375BD" w:rsidRDefault="00D06055"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Les sociétés pipelinières du groupe 1 qui ne sont pas réglementées en fonction des plaintes pourraient être tenues de déposer une demande aux termes des articles 225 à 240 de la LRCE si les droits et les tarifs devront être examinés (voir la </w:t>
            </w:r>
            <w:hyperlink r:id="rId26">
              <w:r>
                <w:rPr>
                  <w:rStyle w:val="Hyperlink"/>
                  <w:rFonts w:ascii="Arial" w:hAnsi="Arial"/>
                  <w:color w:val="4472C4" w:themeColor="accent1"/>
                </w:rPr>
                <w:t>rubrique P − Droits et tarifs</w:t>
              </w:r>
            </w:hyperlink>
            <w:r>
              <w:rPr>
                <w:rFonts w:ascii="Arial" w:hAnsi="Arial"/>
                <w:color w:val="4472C4" w:themeColor="accent1"/>
              </w:rPr>
              <w:t>).</w:t>
            </w:r>
          </w:p>
        </w:tc>
      </w:tr>
      <w:tr w:rsidR="003327FD" w:rsidRPr="00391388" w14:paraId="5C32C87B" w14:textId="77777777" w:rsidTr="4B15D3E6">
        <w:trPr>
          <w:cantSplit/>
          <w:trHeight w:val="300"/>
        </w:trPr>
        <w:tc>
          <w:tcPr>
            <w:tcW w:w="567" w:type="dxa"/>
            <w:tcMar>
              <w:top w:w="57" w:type="dxa"/>
              <w:bottom w:w="57" w:type="dxa"/>
            </w:tcMar>
          </w:tcPr>
          <w:p w14:paraId="06FBAB3F" w14:textId="15BC6CEF" w:rsidR="001979BB" w:rsidRPr="00F375BD" w:rsidRDefault="00A70B46" w:rsidP="002402A5">
            <w:pPr>
              <w:tabs>
                <w:tab w:val="left" w:pos="10080"/>
              </w:tabs>
              <w:spacing w:after="120" w:line="240" w:lineRule="auto"/>
              <w:rPr>
                <w:rFonts w:ascii="Arial" w:hAnsi="Arial"/>
              </w:rPr>
            </w:pPr>
            <w:r>
              <w:rPr>
                <w:rFonts w:ascii="Arial" w:hAnsi="Arial"/>
              </w:rPr>
              <w:t>26.</w:t>
            </w:r>
          </w:p>
        </w:tc>
        <w:tc>
          <w:tcPr>
            <w:tcW w:w="2042" w:type="dxa"/>
            <w:tcMar>
              <w:top w:w="57" w:type="dxa"/>
              <w:bottom w:w="57" w:type="dxa"/>
            </w:tcMar>
          </w:tcPr>
          <w:p w14:paraId="7FE5369F" w14:textId="77777777" w:rsidR="001979BB" w:rsidRPr="00F375BD" w:rsidRDefault="001979BB" w:rsidP="002402A5">
            <w:pPr>
              <w:tabs>
                <w:tab w:val="left" w:pos="10080"/>
              </w:tabs>
              <w:spacing w:after="120" w:line="240" w:lineRule="auto"/>
              <w:rPr>
                <w:rFonts w:ascii="Arial" w:hAnsi="Arial"/>
              </w:rPr>
            </w:pPr>
            <w:r>
              <w:rPr>
                <w:rFonts w:ascii="Arial" w:hAnsi="Arial"/>
              </w:rPr>
              <w:t>Valeur</w:t>
            </w:r>
          </w:p>
        </w:tc>
        <w:tc>
          <w:tcPr>
            <w:tcW w:w="7592" w:type="dxa"/>
            <w:gridSpan w:val="2"/>
            <w:tcMar>
              <w:top w:w="57" w:type="dxa"/>
              <w:bottom w:w="57" w:type="dxa"/>
            </w:tcMar>
          </w:tcPr>
          <w:p w14:paraId="176D6E72" w14:textId="7D80E7A4" w:rsidR="001979BB" w:rsidRPr="00F375BD" w:rsidRDefault="00FC1212" w:rsidP="002402A5">
            <w:pPr>
              <w:tabs>
                <w:tab w:val="left" w:pos="10080"/>
              </w:tabs>
              <w:spacing w:after="120" w:line="240" w:lineRule="auto"/>
              <w:rPr>
                <w:rFonts w:ascii="Arial" w:hAnsi="Arial"/>
                <w:color w:val="4472C4" w:themeColor="accent1"/>
              </w:rPr>
            </w:pPr>
            <w:r>
              <w:rPr>
                <w:rFonts w:ascii="Arial" w:hAnsi="Arial"/>
                <w:color w:val="4472C4" w:themeColor="accent1"/>
              </w:rPr>
              <w:t>Indiquez le coût initial, l’amortissement et la valeur comptable nette du pipeline ou du pipeline abandonné.</w:t>
            </w:r>
          </w:p>
        </w:tc>
      </w:tr>
      <w:tr w:rsidR="003327FD" w:rsidRPr="00391388" w14:paraId="4F7B9212" w14:textId="77777777" w:rsidTr="4B15D3E6">
        <w:trPr>
          <w:cantSplit/>
          <w:trHeight w:val="300"/>
        </w:trPr>
        <w:tc>
          <w:tcPr>
            <w:tcW w:w="567" w:type="dxa"/>
            <w:tcMar>
              <w:top w:w="57" w:type="dxa"/>
              <w:bottom w:w="57" w:type="dxa"/>
            </w:tcMar>
          </w:tcPr>
          <w:p w14:paraId="2341F1F3" w14:textId="0CFC05E2" w:rsidR="001979BB" w:rsidRPr="00F375BD" w:rsidRDefault="00A70B46" w:rsidP="002402A5">
            <w:pPr>
              <w:tabs>
                <w:tab w:val="left" w:pos="10080"/>
              </w:tabs>
              <w:spacing w:after="120" w:line="240" w:lineRule="auto"/>
              <w:rPr>
                <w:rFonts w:ascii="Arial" w:hAnsi="Arial"/>
              </w:rPr>
            </w:pPr>
            <w:r>
              <w:rPr>
                <w:rFonts w:ascii="Arial" w:hAnsi="Arial"/>
              </w:rPr>
              <w:t>27.</w:t>
            </w:r>
          </w:p>
        </w:tc>
        <w:tc>
          <w:tcPr>
            <w:tcW w:w="2042" w:type="dxa"/>
            <w:tcMar>
              <w:top w:w="57" w:type="dxa"/>
              <w:bottom w:w="57" w:type="dxa"/>
            </w:tcMar>
          </w:tcPr>
          <w:p w14:paraId="33EBB3E5" w14:textId="77777777" w:rsidR="001979BB" w:rsidRPr="00F375BD" w:rsidRDefault="001979BB" w:rsidP="002402A5">
            <w:pPr>
              <w:tabs>
                <w:tab w:val="left" w:pos="10080"/>
              </w:tabs>
              <w:spacing w:after="120" w:line="240" w:lineRule="auto"/>
              <w:rPr>
                <w:rFonts w:ascii="Arial" w:hAnsi="Arial"/>
              </w:rPr>
            </w:pPr>
            <w:r>
              <w:rPr>
                <w:rFonts w:ascii="Arial" w:hAnsi="Arial"/>
              </w:rPr>
              <w:t>Coût</w:t>
            </w:r>
          </w:p>
        </w:tc>
        <w:tc>
          <w:tcPr>
            <w:tcW w:w="7592" w:type="dxa"/>
            <w:gridSpan w:val="2"/>
            <w:tcMar>
              <w:top w:w="57" w:type="dxa"/>
              <w:bottom w:w="57" w:type="dxa"/>
            </w:tcMar>
          </w:tcPr>
          <w:p w14:paraId="74613001" w14:textId="55438BC8" w:rsidR="00C63628" w:rsidRPr="00F375BD" w:rsidRDefault="000C561B"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Indiquez le prix d’achat du pipeline ou du pipeline abandonné. Cela ne s’applique pas aux fusions. </w:t>
            </w:r>
          </w:p>
        </w:tc>
      </w:tr>
      <w:tr w:rsidR="003327FD" w:rsidRPr="00391388" w14:paraId="66086823" w14:textId="77777777" w:rsidTr="4B15D3E6">
        <w:trPr>
          <w:cantSplit/>
          <w:trHeight w:val="300"/>
        </w:trPr>
        <w:tc>
          <w:tcPr>
            <w:tcW w:w="567" w:type="dxa"/>
            <w:tcMar>
              <w:top w:w="57" w:type="dxa"/>
              <w:bottom w:w="57" w:type="dxa"/>
            </w:tcMar>
          </w:tcPr>
          <w:p w14:paraId="529F922E" w14:textId="13AE3122" w:rsidR="001979BB" w:rsidRPr="00F375BD" w:rsidRDefault="00A70B46" w:rsidP="002402A5">
            <w:pPr>
              <w:tabs>
                <w:tab w:val="left" w:pos="10080"/>
              </w:tabs>
              <w:spacing w:after="120" w:line="240" w:lineRule="auto"/>
              <w:rPr>
                <w:rFonts w:ascii="Arial" w:hAnsi="Arial"/>
              </w:rPr>
            </w:pPr>
            <w:r>
              <w:rPr>
                <w:rFonts w:ascii="Arial" w:hAnsi="Arial"/>
              </w:rPr>
              <w:lastRenderedPageBreak/>
              <w:t>28.</w:t>
            </w:r>
          </w:p>
        </w:tc>
        <w:tc>
          <w:tcPr>
            <w:tcW w:w="2042" w:type="dxa"/>
            <w:tcMar>
              <w:top w:w="57" w:type="dxa"/>
              <w:bottom w:w="57" w:type="dxa"/>
            </w:tcMar>
          </w:tcPr>
          <w:p w14:paraId="4EB7E027" w14:textId="77777777" w:rsidR="001979BB" w:rsidRPr="00F375BD" w:rsidRDefault="001979BB" w:rsidP="002402A5">
            <w:pPr>
              <w:tabs>
                <w:tab w:val="left" w:pos="10080"/>
              </w:tabs>
              <w:spacing w:after="120" w:line="240" w:lineRule="auto"/>
              <w:rPr>
                <w:rFonts w:ascii="Arial" w:hAnsi="Arial"/>
              </w:rPr>
            </w:pPr>
            <w:r>
              <w:rPr>
                <w:rFonts w:ascii="Arial" w:hAnsi="Arial"/>
              </w:rPr>
              <w:t>Financement</w:t>
            </w:r>
          </w:p>
        </w:tc>
        <w:tc>
          <w:tcPr>
            <w:tcW w:w="7592" w:type="dxa"/>
            <w:gridSpan w:val="2"/>
            <w:tcMar>
              <w:top w:w="57" w:type="dxa"/>
              <w:bottom w:w="57" w:type="dxa"/>
            </w:tcMar>
          </w:tcPr>
          <w:p w14:paraId="660F790E" w14:textId="1B564A01" w:rsidR="00AC23CE" w:rsidRDefault="0036783C" w:rsidP="002402A5">
            <w:pPr>
              <w:tabs>
                <w:tab w:val="left" w:pos="10080"/>
              </w:tabs>
              <w:spacing w:after="120" w:line="240" w:lineRule="auto"/>
              <w:rPr>
                <w:rFonts w:ascii="Arial" w:eastAsia="Times New Roman" w:hAnsi="Arial" w:cs="Arial"/>
                <w:color w:val="4472C4" w:themeColor="accent1"/>
              </w:rPr>
            </w:pPr>
            <w:r>
              <w:rPr>
                <w:rFonts w:ascii="Arial" w:hAnsi="Arial"/>
                <w:color w:val="4472C4" w:themeColor="accent1"/>
              </w:rPr>
              <w:t xml:space="preserve">Si le pipeline ou le pipeline abandonné continue ou commence à relever de la compétence de la Régie, expliquez comment l’acheteur prévoit payer ou financer le pipeline ou le pipeline abandonné et comment l’acheteur ou la société issue de la fusion prévoit financer les activités d’exploitation continue. Fournissez des renseignements à l’appui dans la mesure du possible. Par exemple, si une importante agence de notation a accordé une cote de solvabilité à l’acheteur, veuillez la fournir. </w:t>
            </w:r>
          </w:p>
          <w:p w14:paraId="7F1F1227" w14:textId="541CF34A" w:rsidR="00C63628" w:rsidRPr="00F375BD" w:rsidRDefault="00311ED2" w:rsidP="002402A5">
            <w:pPr>
              <w:tabs>
                <w:tab w:val="left" w:pos="10080"/>
              </w:tabs>
              <w:spacing w:after="120" w:line="240" w:lineRule="auto"/>
              <w:rPr>
                <w:rFonts w:ascii="Arial" w:hAnsi="Arial"/>
                <w:color w:val="4472C4" w:themeColor="accent1"/>
              </w:rPr>
            </w:pPr>
            <w:r>
              <w:rPr>
                <w:rFonts w:ascii="Arial" w:hAnsi="Arial"/>
                <w:color w:val="4472C4" w:themeColor="accent1"/>
              </w:rPr>
              <w:t xml:space="preserve">Si le pipeline ou le pipeline abandonné cesse de relever de la compétence de la Régie, le vendeur doit fournir des précisions sur la capacité de l’acheteur à financer l’exploitation continue du pipeline ou, si le pipeline a déjà cessé d’être exploité, toute activité postérieure à la cessation d’exploitation. </w:t>
            </w:r>
          </w:p>
        </w:tc>
      </w:tr>
      <w:tr w:rsidR="003327FD" w:rsidRPr="00391388" w14:paraId="6239C5FA" w14:textId="77777777" w:rsidTr="4B15D3E6">
        <w:trPr>
          <w:cantSplit/>
          <w:trHeight w:val="300"/>
        </w:trPr>
        <w:tc>
          <w:tcPr>
            <w:tcW w:w="567" w:type="dxa"/>
            <w:tcMar>
              <w:top w:w="57" w:type="dxa"/>
              <w:bottom w:w="57" w:type="dxa"/>
            </w:tcMar>
          </w:tcPr>
          <w:p w14:paraId="6B8FFE39" w14:textId="254EDAD1" w:rsidR="001979BB" w:rsidRPr="00F375BD" w:rsidDel="00B4445B" w:rsidRDefault="00A70B46" w:rsidP="002402A5">
            <w:pPr>
              <w:tabs>
                <w:tab w:val="left" w:pos="10080"/>
              </w:tabs>
              <w:spacing w:after="120" w:line="240" w:lineRule="auto"/>
              <w:rPr>
                <w:rFonts w:ascii="Arial" w:hAnsi="Arial"/>
              </w:rPr>
            </w:pPr>
            <w:r>
              <w:rPr>
                <w:rFonts w:ascii="Arial" w:hAnsi="Arial"/>
              </w:rPr>
              <w:t>29.</w:t>
            </w:r>
          </w:p>
        </w:tc>
        <w:tc>
          <w:tcPr>
            <w:tcW w:w="2042" w:type="dxa"/>
            <w:tcMar>
              <w:top w:w="57" w:type="dxa"/>
              <w:bottom w:w="57" w:type="dxa"/>
            </w:tcMar>
          </w:tcPr>
          <w:p w14:paraId="0E18C60C" w14:textId="77777777" w:rsidR="001979BB" w:rsidRPr="00F375BD" w:rsidRDefault="001979BB" w:rsidP="002402A5">
            <w:pPr>
              <w:tabs>
                <w:tab w:val="left" w:pos="10080"/>
              </w:tabs>
              <w:spacing w:after="120" w:line="240" w:lineRule="auto"/>
              <w:rPr>
                <w:rFonts w:ascii="Arial" w:hAnsi="Arial"/>
              </w:rPr>
            </w:pPr>
            <w:r>
              <w:rPr>
                <w:rFonts w:ascii="Arial" w:hAnsi="Arial"/>
              </w:rPr>
              <w:t>Financement de la cessation d’exploitation</w:t>
            </w:r>
          </w:p>
        </w:tc>
        <w:tc>
          <w:tcPr>
            <w:tcW w:w="7592" w:type="dxa"/>
            <w:gridSpan w:val="2"/>
            <w:tcMar>
              <w:top w:w="57" w:type="dxa"/>
              <w:bottom w:w="57" w:type="dxa"/>
            </w:tcMar>
          </w:tcPr>
          <w:p w14:paraId="67727F37" w14:textId="3C04EF86" w:rsidR="001979BB" w:rsidRPr="00F375BD" w:rsidRDefault="00F357D6" w:rsidP="002402A5">
            <w:pPr>
              <w:spacing w:after="120" w:line="240" w:lineRule="auto"/>
              <w:rPr>
                <w:rFonts w:ascii="Arial" w:hAnsi="Arial"/>
                <w:color w:val="4472C4" w:themeColor="accent1"/>
              </w:rPr>
            </w:pPr>
            <w:r>
              <w:rPr>
                <w:rFonts w:ascii="Arial" w:hAnsi="Arial"/>
                <w:color w:val="4472C4" w:themeColor="accent1"/>
              </w:rPr>
              <w:t xml:space="preserve">Fournissez le total des coûts estimatifs de cessation d’exploitation du pipeline ou du pipeline abandonné faisant l’objet de la transaction proposée, en utilisant les plus récents coûts estimatifs de cessation d’exploitation approuvés par la Commission. </w:t>
            </w:r>
          </w:p>
          <w:p w14:paraId="2F4FE431" w14:textId="5B1EC72F" w:rsidR="003D3F93" w:rsidRPr="00263366" w:rsidRDefault="000800A0" w:rsidP="002402A5">
            <w:pPr>
              <w:spacing w:after="120" w:line="240" w:lineRule="auto"/>
              <w:rPr>
                <w:rFonts w:ascii="Arial" w:hAnsi="Arial"/>
                <w:color w:val="4472C4" w:themeColor="accent1"/>
              </w:rPr>
            </w:pPr>
            <w:r>
              <w:rPr>
                <w:rFonts w:ascii="Arial" w:hAnsi="Arial"/>
                <w:color w:val="4472C4" w:themeColor="accent1"/>
              </w:rPr>
              <w:t>Le vendeur ou la société fusionnante doit décrire les mesures qu’il entend prendre à l’égard de sa lettre de crédit, de son cautionnement et de la convention de fiducie pour les fonds liés à la cessation d’exploitation. Divers renseignements doivent être fournis, dont le solde actuel de la fiducie et la partie du solde liée au pipeline ou au pipeline abandonné visé par la transaction proposée, ainsi que la façon dont ce montant a été calculé.</w:t>
            </w:r>
          </w:p>
          <w:p w14:paraId="3161C534" w14:textId="0E35D4B2" w:rsidR="003A54AF" w:rsidRDefault="00CC2AEF" w:rsidP="002402A5">
            <w:pPr>
              <w:spacing w:after="120" w:line="240" w:lineRule="auto"/>
              <w:rPr>
                <w:rFonts w:ascii="Arial" w:hAnsi="Arial"/>
                <w:color w:val="4472C4" w:themeColor="accent1"/>
              </w:rPr>
            </w:pPr>
            <w:r>
              <w:rPr>
                <w:rFonts w:ascii="Arial" w:hAnsi="Arial"/>
                <w:color w:val="4472C4" w:themeColor="accent1"/>
              </w:rPr>
              <w:t xml:space="preserve">Si la transaction proposée fait en sorte que le pipeline ou le pipeline abandonné commence ou continue à relever de la compétence de la Régie, les renseignements ci-dessous sont requis. </w:t>
            </w:r>
          </w:p>
          <w:p w14:paraId="695928B1" w14:textId="7288521C" w:rsidR="001D737E" w:rsidRPr="00F375BD" w:rsidRDefault="00BC0FAE" w:rsidP="002402A5">
            <w:pPr>
              <w:pStyle w:val="ListParagraph"/>
              <w:numPr>
                <w:ilvl w:val="0"/>
                <w:numId w:val="17"/>
              </w:numPr>
              <w:spacing w:after="120" w:line="240" w:lineRule="auto"/>
              <w:contextualSpacing w:val="0"/>
              <w:rPr>
                <w:rFonts w:ascii="Arial" w:hAnsi="Arial"/>
                <w:color w:val="4472C4" w:themeColor="accent1"/>
              </w:rPr>
            </w:pPr>
            <w:r>
              <w:rPr>
                <w:rFonts w:ascii="Arial" w:hAnsi="Arial"/>
                <w:color w:val="4472C4" w:themeColor="accent1"/>
              </w:rPr>
              <w:t>L’acheteur doit fournir une ébauche de sa lettre de crédit, de son cautionnement ou de la convention de fiducie pour les fonds liés à la cessation d’exploitation.</w:t>
            </w:r>
          </w:p>
          <w:p w14:paraId="3864E9F0" w14:textId="6B7E88EF" w:rsidR="00581B6A" w:rsidRPr="00263366" w:rsidRDefault="0047181E" w:rsidP="002402A5">
            <w:pPr>
              <w:pStyle w:val="ListParagraph"/>
              <w:numPr>
                <w:ilvl w:val="0"/>
                <w:numId w:val="17"/>
              </w:numPr>
              <w:spacing w:after="120" w:line="240" w:lineRule="auto"/>
              <w:contextualSpacing w:val="0"/>
              <w:rPr>
                <w:rFonts w:ascii="Arial" w:eastAsia="Times New Roman" w:hAnsi="Arial" w:cs="Arial"/>
                <w:color w:val="4472C4" w:themeColor="accent1"/>
              </w:rPr>
            </w:pPr>
            <w:r>
              <w:rPr>
                <w:rFonts w:ascii="Arial" w:hAnsi="Arial"/>
                <w:color w:val="4472C4" w:themeColor="accent1"/>
              </w:rPr>
              <w:t>Si l’acheteur a recours à une fiducie :</w:t>
            </w:r>
          </w:p>
          <w:p w14:paraId="1A3DBE89" w14:textId="7F914154" w:rsidR="001979BB" w:rsidRPr="00F375BD" w:rsidRDefault="00C90720" w:rsidP="002402A5">
            <w:pPr>
              <w:numPr>
                <w:ilvl w:val="1"/>
                <w:numId w:val="6"/>
              </w:numPr>
              <w:spacing w:after="120" w:line="240" w:lineRule="auto"/>
              <w:rPr>
                <w:rFonts w:ascii="Arial" w:hAnsi="Arial"/>
                <w:color w:val="4472C4" w:themeColor="accent1"/>
              </w:rPr>
            </w:pPr>
            <w:r>
              <w:rPr>
                <w:rFonts w:ascii="Arial" w:hAnsi="Arial"/>
                <w:color w:val="4472C4" w:themeColor="accent1"/>
              </w:rPr>
              <w:t xml:space="preserve">indiquez le montant, en dollars, qui sera dans la fiducie de l’acheteur pour la cessation d’exploitation au moment de la création de cette fiducie; </w:t>
            </w:r>
          </w:p>
          <w:p w14:paraId="4DC33FD2" w14:textId="5D96C904" w:rsidR="001979BB" w:rsidRPr="00F375BD" w:rsidRDefault="00C90720" w:rsidP="002402A5">
            <w:pPr>
              <w:numPr>
                <w:ilvl w:val="1"/>
                <w:numId w:val="6"/>
              </w:numPr>
              <w:spacing w:after="120" w:line="240" w:lineRule="auto"/>
              <w:rPr>
                <w:rFonts w:ascii="Arial" w:hAnsi="Arial"/>
                <w:color w:val="4472C4" w:themeColor="accent1"/>
              </w:rPr>
            </w:pPr>
            <w:r>
              <w:rPr>
                <w:rFonts w:ascii="Arial" w:hAnsi="Arial"/>
                <w:color w:val="4472C4" w:themeColor="accent1"/>
              </w:rPr>
              <w:t>indiquez de quelle manière l’acheteur entend prélever les fonds à verser dans la fiducie, ou y contribuer lui</w:t>
            </w:r>
            <w:r>
              <w:rPr>
                <w:rFonts w:ascii="Arial" w:hAnsi="Arial"/>
                <w:color w:val="4472C4" w:themeColor="accent1"/>
              </w:rPr>
              <w:noBreakHyphen/>
              <w:t xml:space="preserve">même, selon le cas; </w:t>
            </w:r>
          </w:p>
          <w:p w14:paraId="0286E21F" w14:textId="27C9972A" w:rsidR="004014B5" w:rsidRPr="00263366" w:rsidRDefault="00F97DA6" w:rsidP="002402A5">
            <w:pPr>
              <w:pStyle w:val="ListParagraph"/>
              <w:numPr>
                <w:ilvl w:val="1"/>
                <w:numId w:val="6"/>
              </w:numPr>
              <w:spacing w:after="120" w:line="240" w:lineRule="auto"/>
              <w:contextualSpacing w:val="0"/>
              <w:rPr>
                <w:rFonts w:ascii="Arial" w:hAnsi="Arial"/>
                <w:color w:val="4472C4" w:themeColor="accent1"/>
              </w:rPr>
            </w:pPr>
            <w:r>
              <w:rPr>
                <w:rFonts w:ascii="Arial" w:hAnsi="Arial"/>
                <w:color w:val="4472C4" w:themeColor="accent1"/>
              </w:rPr>
              <w:t xml:space="preserve">proposez un fiduciaire pour la fiducie et confirmez que le fiduciaire en question est visé par la </w:t>
            </w:r>
            <w:r>
              <w:rPr>
                <w:rFonts w:ascii="Arial" w:hAnsi="Arial"/>
                <w:i/>
                <w:iCs/>
                <w:color w:val="4472C4" w:themeColor="accent1"/>
              </w:rPr>
              <w:t>Loi sur les sociétés de fiducie et de prêt</w:t>
            </w:r>
            <w:r>
              <w:rPr>
                <w:rFonts w:ascii="Arial" w:hAnsi="Arial"/>
                <w:color w:val="4472C4" w:themeColor="accent1"/>
              </w:rPr>
              <w:t>.</w:t>
            </w:r>
          </w:p>
          <w:p w14:paraId="45156E6B" w14:textId="78BD95CF" w:rsidR="00910342" w:rsidRPr="0080501F" w:rsidRDefault="00910342" w:rsidP="002402A5">
            <w:pPr>
              <w:spacing w:after="120" w:line="240" w:lineRule="auto"/>
              <w:rPr>
                <w:rFonts w:ascii="Arial" w:eastAsia="Times New Roman" w:hAnsi="Arial" w:cs="Arial"/>
                <w:color w:val="4472C4" w:themeColor="accent1"/>
              </w:rPr>
            </w:pPr>
            <w:r>
              <w:rPr>
                <w:rFonts w:ascii="Arial" w:hAnsi="Arial"/>
                <w:color w:val="4472C4" w:themeColor="accent1"/>
              </w:rPr>
              <w:t xml:space="preserve">Pour en savoir plus sur le financement de la cessation d’exploitation, consultez la </w:t>
            </w:r>
            <w:hyperlink r:id="rId27" w:anchor="sa_3_4_02_5">
              <w:r>
                <w:rPr>
                  <w:rStyle w:val="Hyperlink"/>
                  <w:rFonts w:ascii="Arial" w:hAnsi="Arial"/>
                  <w:color w:val="4472C4" w:themeColor="accent1"/>
                </w:rPr>
                <w:t>section A.3.4 du Guide de dépôt – Renseignements sur le financement de la cessation d’exploitation</w:t>
              </w:r>
            </w:hyperlink>
            <w:r>
              <w:rPr>
                <w:rFonts w:ascii="Arial" w:hAnsi="Arial"/>
                <w:color w:val="4472C4" w:themeColor="accent1"/>
              </w:rPr>
              <w:t xml:space="preserve"> et la page </w:t>
            </w:r>
            <w:hyperlink r:id="rId28">
              <w:r>
                <w:rPr>
                  <w:rStyle w:val="Hyperlink"/>
                  <w:rFonts w:ascii="Arial" w:hAnsi="Arial"/>
                  <w:color w:val="4472C4" w:themeColor="accent1"/>
                </w:rPr>
                <w:t>Cessation d’exploitation de pipelines (cer-rec.gc.ca)</w:t>
              </w:r>
            </w:hyperlink>
            <w:r>
              <w:rPr>
                <w:rFonts w:ascii="Arial" w:hAnsi="Arial"/>
                <w:color w:val="4472C4" w:themeColor="accent1"/>
              </w:rPr>
              <w:t xml:space="preserve">. </w:t>
            </w:r>
          </w:p>
        </w:tc>
      </w:tr>
      <w:tr w:rsidR="003327FD" w:rsidRPr="00391388" w14:paraId="76403F8F" w14:textId="77777777" w:rsidTr="4B15D3E6">
        <w:trPr>
          <w:gridAfter w:val="1"/>
          <w:wAfter w:w="36" w:type="dxa"/>
          <w:cantSplit/>
          <w:trHeight w:val="300"/>
        </w:trPr>
        <w:tc>
          <w:tcPr>
            <w:tcW w:w="567" w:type="dxa"/>
            <w:tcMar>
              <w:top w:w="57" w:type="dxa"/>
              <w:bottom w:w="57" w:type="dxa"/>
            </w:tcMar>
          </w:tcPr>
          <w:p w14:paraId="5D6CF01E" w14:textId="5F96D06C" w:rsidR="00834695" w:rsidRPr="00391388" w:rsidRDefault="00A70B46" w:rsidP="002402A5">
            <w:pPr>
              <w:tabs>
                <w:tab w:val="left" w:pos="10080"/>
              </w:tabs>
              <w:spacing w:after="120" w:line="240" w:lineRule="auto"/>
              <w:rPr>
                <w:rFonts w:ascii="Arial" w:eastAsia="Times New Roman" w:hAnsi="Arial" w:cs="Arial"/>
              </w:rPr>
            </w:pPr>
            <w:r>
              <w:rPr>
                <w:rFonts w:ascii="Arial" w:hAnsi="Arial"/>
              </w:rPr>
              <w:lastRenderedPageBreak/>
              <w:t>30.</w:t>
            </w:r>
          </w:p>
        </w:tc>
        <w:tc>
          <w:tcPr>
            <w:tcW w:w="2042" w:type="dxa"/>
            <w:tcMar>
              <w:top w:w="57" w:type="dxa"/>
              <w:bottom w:w="57" w:type="dxa"/>
            </w:tcMar>
          </w:tcPr>
          <w:p w14:paraId="3744A91B" w14:textId="77777777" w:rsidR="00834695" w:rsidRPr="00391388" w:rsidRDefault="00834695" w:rsidP="002402A5">
            <w:pPr>
              <w:tabs>
                <w:tab w:val="left" w:pos="10080"/>
              </w:tabs>
              <w:spacing w:after="120" w:line="240" w:lineRule="auto"/>
              <w:rPr>
                <w:rFonts w:ascii="Arial" w:eastAsia="Times New Roman" w:hAnsi="Arial" w:cs="Arial"/>
              </w:rPr>
            </w:pPr>
            <w:r>
              <w:rPr>
                <w:rFonts w:ascii="Arial" w:hAnsi="Arial"/>
              </w:rPr>
              <w:t>Ressources financières</w:t>
            </w:r>
          </w:p>
        </w:tc>
        <w:tc>
          <w:tcPr>
            <w:tcW w:w="7556" w:type="dxa"/>
            <w:tcMar>
              <w:top w:w="57" w:type="dxa"/>
              <w:bottom w:w="57" w:type="dxa"/>
            </w:tcMar>
          </w:tcPr>
          <w:p w14:paraId="7173F9FA" w14:textId="147B37DB" w:rsidR="00444838" w:rsidRDefault="00444838" w:rsidP="002402A5">
            <w:pPr>
              <w:spacing w:after="120" w:line="240" w:lineRule="auto"/>
              <w:rPr>
                <w:rFonts w:ascii="Arial" w:eastAsia="Times New Roman" w:hAnsi="Arial" w:cs="Arial"/>
                <w:color w:val="4472C4" w:themeColor="accent1"/>
              </w:rPr>
            </w:pPr>
            <w:r>
              <w:rPr>
                <w:rFonts w:ascii="Arial" w:hAnsi="Arial"/>
                <w:color w:val="4472C4" w:themeColor="accent1"/>
              </w:rPr>
              <w:t xml:space="preserve">Une société autorisée à construire ou à exploiter un pipeline réglementé par la Régie est tenue de disposer des ressources financières nécessaires pour payer la limite de responsabilité absolue applicable ou la somme correspondant à un montant supérieur pouvant être précisé par la Commission. </w:t>
            </w:r>
          </w:p>
          <w:p w14:paraId="34A7FB26" w14:textId="4F442B2D" w:rsidR="00E50300" w:rsidRPr="00DC3F90" w:rsidRDefault="00C35D93" w:rsidP="002402A5">
            <w:pPr>
              <w:spacing w:after="120" w:line="240" w:lineRule="auto"/>
              <w:rPr>
                <w:rFonts w:ascii="Arial" w:eastAsia="Arial" w:hAnsi="Arial" w:cs="Arial"/>
                <w:color w:val="4472C4" w:themeColor="accent1"/>
              </w:rPr>
            </w:pPr>
            <w:r>
              <w:rPr>
                <w:rFonts w:ascii="Arial" w:hAnsi="Arial"/>
                <w:color w:val="4472C4" w:themeColor="accent1"/>
              </w:rPr>
              <w:t>Si la transaction proposée fait en sorte que le pipeline commence ou continue à relever de la compétence de la Régie, l’acheteur doit démontrer qu’il dispose des ressources financières nécessaires en :</w:t>
            </w:r>
          </w:p>
          <w:p w14:paraId="6505C8F8" w14:textId="77777777" w:rsidR="00F53E7B" w:rsidRPr="00F53E7B" w:rsidRDefault="00EF4952" w:rsidP="002402A5">
            <w:pPr>
              <w:numPr>
                <w:ilvl w:val="0"/>
                <w:numId w:val="6"/>
              </w:numPr>
              <w:spacing w:after="120" w:line="240" w:lineRule="auto"/>
              <w:ind w:left="824"/>
              <w:rPr>
                <w:rFonts w:ascii="Arial" w:eastAsia="Arial" w:hAnsi="Arial" w:cs="Arial"/>
                <w:color w:val="4472C4" w:themeColor="accent1"/>
              </w:rPr>
            </w:pPr>
            <w:r w:rsidRPr="00F53E7B">
              <w:rPr>
                <w:rFonts w:ascii="Arial" w:hAnsi="Arial"/>
                <w:color w:val="4472C4" w:themeColor="accent1"/>
              </w:rPr>
              <w:t xml:space="preserve">précisant la limite de responsabilité absolue applicable après la transaction; </w:t>
            </w:r>
          </w:p>
          <w:p w14:paraId="24EE63DE" w14:textId="00C37255" w:rsidR="00CF4E14" w:rsidRPr="00F53E7B" w:rsidRDefault="00EF4952" w:rsidP="002402A5">
            <w:pPr>
              <w:numPr>
                <w:ilvl w:val="0"/>
                <w:numId w:val="6"/>
              </w:numPr>
              <w:spacing w:after="120" w:line="240" w:lineRule="auto"/>
              <w:ind w:left="824"/>
              <w:rPr>
                <w:rFonts w:ascii="Arial" w:eastAsia="Arial" w:hAnsi="Arial" w:cs="Arial"/>
                <w:color w:val="4472C4" w:themeColor="accent1"/>
              </w:rPr>
            </w:pPr>
            <w:r w:rsidRPr="00F53E7B">
              <w:rPr>
                <w:rFonts w:ascii="Arial" w:hAnsi="Arial"/>
                <w:color w:val="4472C4" w:themeColor="accent1"/>
              </w:rPr>
              <w:t>ayant le montant des ressources financières requises;</w:t>
            </w:r>
          </w:p>
          <w:p w14:paraId="5986B502" w14:textId="6A33BF89" w:rsidR="00834695" w:rsidRPr="00263366" w:rsidRDefault="006D0E4A" w:rsidP="002402A5">
            <w:pPr>
              <w:pStyle w:val="ListParagraph"/>
              <w:numPr>
                <w:ilvl w:val="0"/>
                <w:numId w:val="6"/>
              </w:numPr>
              <w:spacing w:after="120" w:line="240" w:lineRule="auto"/>
              <w:ind w:left="824"/>
              <w:contextualSpacing w:val="0"/>
              <w:rPr>
                <w:rFonts w:ascii="Arial" w:eastAsia="Arial" w:hAnsi="Arial" w:cs="Arial"/>
                <w:color w:val="4472C4" w:themeColor="accent1"/>
              </w:rPr>
            </w:pPr>
            <w:r>
              <w:rPr>
                <w:rStyle w:val="Hyperlink"/>
                <w:rFonts w:ascii="Arial" w:hAnsi="Arial"/>
                <w:color w:val="4472C4" w:themeColor="accent1"/>
                <w:u w:val="none"/>
              </w:rPr>
              <w:t>fournissant le plan relatif aux ressources financières proposé</w:t>
            </w:r>
            <w:r>
              <w:rPr>
                <w:rFonts w:ascii="Arial" w:hAnsi="Arial"/>
                <w:color w:val="4472C4" w:themeColor="accent1"/>
              </w:rPr>
              <w:t>.</w:t>
            </w:r>
          </w:p>
          <w:p w14:paraId="2FC3470C" w14:textId="58C9A7C0" w:rsidR="00E56642" w:rsidRPr="00263366" w:rsidRDefault="00E56642" w:rsidP="002402A5">
            <w:pPr>
              <w:spacing w:after="120" w:line="240" w:lineRule="auto"/>
              <w:rPr>
                <w:rFonts w:ascii="Arial" w:eastAsia="Arial" w:hAnsi="Arial" w:cs="Arial"/>
                <w:color w:val="4472C4" w:themeColor="accent1"/>
              </w:rPr>
            </w:pPr>
            <w:r>
              <w:rPr>
                <w:rFonts w:ascii="Arial" w:hAnsi="Arial"/>
                <w:color w:val="4472C4" w:themeColor="accent1"/>
              </w:rPr>
              <w:t>Dans le cas d’une fusion, fournissez les mêmes renseignements que ceux susmentionnés pour démontrer que la société issue de la fusion disposera des ressources financières nécessaires.</w:t>
            </w:r>
          </w:p>
          <w:p w14:paraId="2136ABD6" w14:textId="6EC9F61B" w:rsidR="00CF4E14" w:rsidRPr="00DC3F90" w:rsidRDefault="00CF4E14" w:rsidP="002402A5">
            <w:pPr>
              <w:pStyle w:val="paragraph"/>
              <w:spacing w:before="0" w:beforeAutospacing="0" w:after="120" w:afterAutospacing="0"/>
              <w:textAlignment w:val="baseline"/>
              <w:rPr>
                <w:rFonts w:ascii="Arial" w:hAnsi="Arial" w:cs="Arial"/>
                <w:color w:val="4472C4" w:themeColor="accent1"/>
                <w:sz w:val="22"/>
                <w:szCs w:val="22"/>
              </w:rPr>
            </w:pPr>
            <w:r>
              <w:rPr>
                <w:rStyle w:val="normaltextrun"/>
                <w:rFonts w:ascii="Arial" w:hAnsi="Arial"/>
                <w:color w:val="4472C4" w:themeColor="accent1"/>
                <w:sz w:val="22"/>
              </w:rPr>
              <w:t>Pour en savoir plus sur les exigences relatives aux ressources financières, consultez les pages suivantes :  </w:t>
            </w:r>
            <w:r>
              <w:rPr>
                <w:rStyle w:val="eop"/>
                <w:rFonts w:ascii="Arial" w:hAnsi="Arial"/>
                <w:color w:val="4472C4" w:themeColor="accent1"/>
                <w:sz w:val="22"/>
              </w:rPr>
              <w:t> </w:t>
            </w:r>
          </w:p>
          <w:p w14:paraId="496B03FD" w14:textId="77777777" w:rsidR="00CF4E14" w:rsidRPr="00DC3F90" w:rsidRDefault="00931967" w:rsidP="002402A5">
            <w:pPr>
              <w:pStyle w:val="paragraph"/>
              <w:numPr>
                <w:ilvl w:val="0"/>
                <w:numId w:val="12"/>
              </w:numPr>
              <w:spacing w:before="0" w:beforeAutospacing="0" w:after="120" w:afterAutospacing="0"/>
              <w:textAlignment w:val="baseline"/>
              <w:rPr>
                <w:rFonts w:ascii="Arial" w:hAnsi="Arial" w:cs="Arial"/>
                <w:color w:val="4472C4" w:themeColor="accent1"/>
                <w:sz w:val="22"/>
                <w:szCs w:val="22"/>
              </w:rPr>
            </w:pPr>
            <w:hyperlink r:id="rId29" w:tgtFrame="_blank" w:history="1">
              <w:r w:rsidR="00CF4E14">
                <w:rPr>
                  <w:rStyle w:val="normaltextrun"/>
                  <w:rFonts w:ascii="Arial" w:hAnsi="Arial"/>
                  <w:color w:val="4472C4" w:themeColor="accent1"/>
                  <w:sz w:val="22"/>
                  <w:u w:val="single"/>
                  <w:shd w:val="clear" w:color="auto" w:fill="E1E3E6"/>
                </w:rPr>
                <w:t>Lignes directrices concernant les obligations financières relatives aux pipelines (cer-rec.gc.ca)</w:t>
              </w:r>
            </w:hyperlink>
            <w:r w:rsidR="00CF4E14">
              <w:t>;</w:t>
            </w:r>
            <w:r w:rsidR="00CF4E14">
              <w:rPr>
                <w:rStyle w:val="eop"/>
                <w:rFonts w:ascii="Arial" w:hAnsi="Arial"/>
                <w:color w:val="4472C4" w:themeColor="accent1"/>
                <w:sz w:val="22"/>
              </w:rPr>
              <w:t> </w:t>
            </w:r>
          </w:p>
          <w:p w14:paraId="2FD76B68" w14:textId="3C1C713B" w:rsidR="00CF4E14" w:rsidRPr="0080501F" w:rsidRDefault="00931967" w:rsidP="002402A5">
            <w:pPr>
              <w:pStyle w:val="paragraph"/>
              <w:numPr>
                <w:ilvl w:val="0"/>
                <w:numId w:val="12"/>
              </w:numPr>
              <w:spacing w:before="0" w:beforeAutospacing="0" w:after="120" w:afterAutospacing="0"/>
              <w:textAlignment w:val="baseline"/>
              <w:rPr>
                <w:rFonts w:ascii="Arial" w:hAnsi="Arial" w:cs="Arial"/>
                <w:color w:val="4472C4" w:themeColor="accent1"/>
                <w:sz w:val="22"/>
                <w:szCs w:val="22"/>
              </w:rPr>
            </w:pPr>
            <w:hyperlink r:id="rId30" w:tgtFrame="_blank" w:history="1">
              <w:r w:rsidR="008110CD">
                <w:rPr>
                  <w:rStyle w:val="normaltextrun"/>
                  <w:rFonts w:ascii="Arial" w:hAnsi="Arial"/>
                  <w:color w:val="4472C4" w:themeColor="accent1"/>
                  <w:sz w:val="22"/>
                  <w:u w:val="single"/>
                  <w:shd w:val="clear" w:color="auto" w:fill="E1E3E6"/>
                </w:rPr>
                <w:t>Section A.3.4 – Financement et ressources financières</w:t>
              </w:r>
            </w:hyperlink>
            <w:r w:rsidR="008110CD">
              <w:rPr>
                <w:rFonts w:ascii="Arial" w:hAnsi="Arial"/>
                <w:color w:val="4472C4" w:themeColor="accent1"/>
                <w:sz w:val="22"/>
              </w:rPr>
              <w:t xml:space="preserve"> du Guide de dépôt.</w:t>
            </w:r>
            <w:r w:rsidR="008110CD">
              <w:rPr>
                <w:rStyle w:val="eop"/>
                <w:rFonts w:ascii="Arial" w:hAnsi="Arial"/>
                <w:color w:val="4472C4" w:themeColor="accent1"/>
                <w:sz w:val="22"/>
              </w:rPr>
              <w:t> </w:t>
            </w:r>
          </w:p>
        </w:tc>
      </w:tr>
      <w:tr w:rsidR="003327FD" w:rsidRPr="00391388" w14:paraId="56B586C4" w14:textId="77777777" w:rsidTr="4B15D3E6">
        <w:trPr>
          <w:cantSplit/>
          <w:trHeight w:val="300"/>
        </w:trPr>
        <w:tc>
          <w:tcPr>
            <w:tcW w:w="10201" w:type="dxa"/>
            <w:gridSpan w:val="4"/>
            <w:shd w:val="clear" w:color="auto" w:fill="D9D9D9" w:themeFill="background1" w:themeFillShade="D9"/>
            <w:tcMar>
              <w:top w:w="57" w:type="dxa"/>
              <w:bottom w:w="57" w:type="dxa"/>
            </w:tcMar>
          </w:tcPr>
          <w:p w14:paraId="19D3356E" w14:textId="73EDF0C0" w:rsidR="001979BB" w:rsidRPr="00F375BD" w:rsidRDefault="001979BB" w:rsidP="002402A5">
            <w:pPr>
              <w:keepNext/>
              <w:tabs>
                <w:tab w:val="left" w:pos="10080"/>
              </w:tabs>
              <w:spacing w:after="120" w:line="240" w:lineRule="auto"/>
              <w:rPr>
                <w:rFonts w:ascii="Arial" w:hAnsi="Arial"/>
                <w:b/>
                <w:bCs/>
              </w:rPr>
            </w:pPr>
            <w:r>
              <w:rPr>
                <w:rFonts w:ascii="Arial" w:hAnsi="Arial"/>
                <w:b/>
              </w:rPr>
              <w:t xml:space="preserve">Compétence </w:t>
            </w:r>
          </w:p>
        </w:tc>
      </w:tr>
      <w:tr w:rsidR="003327FD" w:rsidRPr="00391388" w14:paraId="779E0841" w14:textId="77777777" w:rsidTr="4B15D3E6">
        <w:trPr>
          <w:cantSplit/>
          <w:trHeight w:val="300"/>
        </w:trPr>
        <w:tc>
          <w:tcPr>
            <w:tcW w:w="567" w:type="dxa"/>
            <w:tcMar>
              <w:top w:w="57" w:type="dxa"/>
              <w:bottom w:w="57" w:type="dxa"/>
            </w:tcMar>
          </w:tcPr>
          <w:p w14:paraId="0CFFE3D3" w14:textId="4E4FF636" w:rsidR="001979BB" w:rsidRPr="00F375BD" w:rsidRDefault="00A70B46" w:rsidP="002402A5">
            <w:pPr>
              <w:tabs>
                <w:tab w:val="left" w:pos="10080"/>
              </w:tabs>
              <w:spacing w:after="120" w:line="240" w:lineRule="auto"/>
              <w:rPr>
                <w:rFonts w:ascii="Arial" w:hAnsi="Arial"/>
              </w:rPr>
            </w:pPr>
            <w:r>
              <w:rPr>
                <w:rFonts w:ascii="Arial" w:hAnsi="Arial"/>
              </w:rPr>
              <w:t>31.</w:t>
            </w:r>
          </w:p>
        </w:tc>
        <w:tc>
          <w:tcPr>
            <w:tcW w:w="2042" w:type="dxa"/>
            <w:tcMar>
              <w:top w:w="57" w:type="dxa"/>
              <w:bottom w:w="57" w:type="dxa"/>
            </w:tcMar>
          </w:tcPr>
          <w:p w14:paraId="4FD3C83A" w14:textId="77777777" w:rsidR="001979BB" w:rsidRPr="00F375BD" w:rsidRDefault="001979BB" w:rsidP="002402A5">
            <w:pPr>
              <w:keepNext/>
              <w:tabs>
                <w:tab w:val="left" w:pos="10080"/>
              </w:tabs>
              <w:spacing w:after="120" w:line="240" w:lineRule="auto"/>
              <w:rPr>
                <w:rFonts w:ascii="Arial" w:hAnsi="Arial"/>
              </w:rPr>
            </w:pPr>
            <w:r>
              <w:rPr>
                <w:rFonts w:ascii="Arial" w:hAnsi="Arial"/>
              </w:rPr>
              <w:t>Changement de compétence</w:t>
            </w:r>
          </w:p>
        </w:tc>
        <w:tc>
          <w:tcPr>
            <w:tcW w:w="7592" w:type="dxa"/>
            <w:gridSpan w:val="2"/>
            <w:tcMar>
              <w:top w:w="57" w:type="dxa"/>
              <w:bottom w:w="57" w:type="dxa"/>
            </w:tcMar>
          </w:tcPr>
          <w:p w14:paraId="4CA446E8" w14:textId="51D1727E" w:rsidR="00E06D2E" w:rsidRPr="00F375BD" w:rsidRDefault="001979BB" w:rsidP="002402A5">
            <w:pPr>
              <w:spacing w:after="120" w:line="240" w:lineRule="auto"/>
              <w:rPr>
                <w:rFonts w:ascii="Arial" w:hAnsi="Arial"/>
                <w:color w:val="4472C4" w:themeColor="accent1"/>
              </w:rPr>
            </w:pPr>
            <w:r>
              <w:rPr>
                <w:rFonts w:ascii="Arial" w:hAnsi="Arial"/>
                <w:color w:val="4472C4" w:themeColor="accent1"/>
              </w:rPr>
              <w:t>Dans la plupart des cas, le pipeline ou le pipeline abandonné est réglementé par la Régie et continue de l’être. Si ce n’est pas le cas, décrivez les circonstances du transfert et expliquez pourquoi le pipeline relèvera d’un autre organisme de réglementation.</w:t>
            </w:r>
          </w:p>
          <w:p w14:paraId="7CC441AD" w14:textId="73360114" w:rsidR="001979BB" w:rsidRPr="00F375BD" w:rsidRDefault="001979BB" w:rsidP="002402A5">
            <w:pPr>
              <w:spacing w:after="120" w:line="240" w:lineRule="auto"/>
              <w:rPr>
                <w:rFonts w:ascii="Arial" w:hAnsi="Arial"/>
                <w:color w:val="4472C4" w:themeColor="accent1"/>
              </w:rPr>
            </w:pPr>
            <w:r>
              <w:rPr>
                <w:rFonts w:ascii="Arial" w:hAnsi="Arial"/>
                <w:color w:val="4472C4" w:themeColor="accent1"/>
              </w:rPr>
              <w:t xml:space="preserve">Dans le cas d’un pipeline qui commence à relever de la compétence de la Régie, l’acheteur est tenu de présenter la demande aux termes de l’article 181 et devrait en même temps présenter une demande ayant trait à des installations aux termes des articles 214 ou 183 de la LRCE (voir la </w:t>
            </w:r>
            <w:hyperlink r:id="rId31">
              <w:r>
                <w:rPr>
                  <w:rStyle w:val="Hyperlink"/>
                  <w:rFonts w:ascii="Arial" w:hAnsi="Arial"/>
                </w:rPr>
                <w:t>rubrique A</w:t>
              </w:r>
            </w:hyperlink>
            <w:r>
              <w:rPr>
                <w:rFonts w:ascii="Arial" w:hAnsi="Arial"/>
                <w:color w:val="4472C4" w:themeColor="accent1"/>
              </w:rPr>
              <w:t xml:space="preserve">, s’il y a lieu) pour être autorisé à exploiter le pipeline en question. La société est également tenue de présenter une demande d’autorisation de mise en service aux termes de l’article 213 (voir la </w:t>
            </w:r>
            <w:hyperlink r:id="rId32">
              <w:r w:rsidRPr="00F53E7B">
                <w:rPr>
                  <w:rStyle w:val="Hyperlink"/>
                  <w:rFonts w:ascii="Arial" w:hAnsi="Arial"/>
                </w:rPr>
                <w:t>rubrique T</w:t>
              </w:r>
            </w:hyperlink>
            <w:r>
              <w:rPr>
                <w:rFonts w:ascii="Arial" w:hAnsi="Arial"/>
                <w:color w:val="4472C4" w:themeColor="accent1"/>
              </w:rPr>
              <w:t xml:space="preserve">, s’il y a lieu) ou une demande d’exemption </w:t>
            </w:r>
            <w:r w:rsidR="001B3CB5" w:rsidRPr="001B3CB5">
              <w:rPr>
                <w:rFonts w:ascii="Arial" w:hAnsi="Arial"/>
                <w:color w:val="4472C4" w:themeColor="accent1"/>
              </w:rPr>
              <w:t xml:space="preserve">de l’obligation d’obtenir une autorisation de mise en service </w:t>
            </w:r>
            <w:r>
              <w:rPr>
                <w:rFonts w:ascii="Arial" w:hAnsi="Arial"/>
                <w:color w:val="4472C4" w:themeColor="accent1"/>
              </w:rPr>
              <w:t>aux termes de l’article 214.</w:t>
            </w:r>
          </w:p>
          <w:p w14:paraId="21B8A9D9" w14:textId="3FFE6FA6" w:rsidR="00F35CFD" w:rsidRPr="003D4E93" w:rsidRDefault="00F35CFD" w:rsidP="002402A5">
            <w:pPr>
              <w:spacing w:after="120" w:line="240" w:lineRule="auto"/>
              <w:rPr>
                <w:rFonts w:ascii="Arial" w:hAnsi="Arial"/>
                <w:color w:val="4472C4" w:themeColor="accent1"/>
              </w:rPr>
            </w:pPr>
            <w:r>
              <w:rPr>
                <w:rFonts w:ascii="Arial" w:hAnsi="Arial"/>
                <w:color w:val="4472C4" w:themeColor="accent1"/>
              </w:rPr>
              <w:t xml:space="preserve">Si le pipeline ou le pipeline abandonné cesse de relever de la compétence de la Régie, le vendeur doit confirmer que l’organisme qui le réglementera a été avisé de la transaction proposée ou le sera. </w:t>
            </w:r>
          </w:p>
          <w:p w14:paraId="162A80DB" w14:textId="1A1AC6A7" w:rsidR="006C706F" w:rsidRPr="00F375BD" w:rsidRDefault="00C84826" w:rsidP="002402A5">
            <w:pPr>
              <w:keepNext/>
              <w:tabs>
                <w:tab w:val="left" w:pos="10080"/>
              </w:tabs>
              <w:spacing w:after="120" w:line="240" w:lineRule="auto"/>
              <w:rPr>
                <w:rFonts w:ascii="Arial" w:hAnsi="Arial"/>
                <w:color w:val="4472C4" w:themeColor="accent1"/>
              </w:rPr>
            </w:pPr>
            <w:r>
              <w:rPr>
                <w:rFonts w:ascii="Arial" w:hAnsi="Arial"/>
                <w:color w:val="4472C4" w:themeColor="accent1"/>
              </w:rPr>
              <w:t>Si la transaction proposée fait en sorte que le vendeur ne possède plus de pipelines ou de pipelines abandonnés réglementés par la Régie, veuillez en aviser la Régie dans la présente section.</w:t>
            </w:r>
          </w:p>
        </w:tc>
      </w:tr>
    </w:tbl>
    <w:p w14:paraId="04AF9662" w14:textId="77777777" w:rsidR="001979BB" w:rsidRPr="00F375BD" w:rsidRDefault="001979BB" w:rsidP="002402A5">
      <w:pPr>
        <w:tabs>
          <w:tab w:val="right" w:pos="6480"/>
          <w:tab w:val="left" w:pos="6660"/>
          <w:tab w:val="left" w:pos="6840"/>
        </w:tabs>
        <w:spacing w:after="120" w:line="240" w:lineRule="auto"/>
        <w:rPr>
          <w:rFonts w:ascii="Arial" w:hAnsi="Arial"/>
          <w:sz w:val="24"/>
        </w:rPr>
      </w:pPr>
    </w:p>
    <w:p w14:paraId="5F28EF50" w14:textId="77777777" w:rsidR="007D3BB1" w:rsidRPr="00F375BD" w:rsidRDefault="007D3BB1" w:rsidP="002402A5">
      <w:pPr>
        <w:spacing w:after="120" w:line="240" w:lineRule="auto"/>
        <w:rPr>
          <w:rFonts w:ascii="Arial" w:hAnsi="Arial"/>
        </w:rPr>
      </w:pPr>
    </w:p>
    <w:sectPr w:rsidR="007D3BB1" w:rsidRPr="00F375BD" w:rsidSect="00F375BD">
      <w:footerReference w:type="even" r:id="rId33"/>
      <w:footerReference w:type="default" r:id="rId34"/>
      <w:headerReference w:type="first" r:id="rId35"/>
      <w:footerReference w:type="firs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3D7E5" w14:textId="77777777" w:rsidR="004D6872" w:rsidRDefault="004D6872">
      <w:pPr>
        <w:spacing w:after="0" w:line="240" w:lineRule="auto"/>
      </w:pPr>
      <w:r>
        <w:separator/>
      </w:r>
    </w:p>
  </w:endnote>
  <w:endnote w:type="continuationSeparator" w:id="0">
    <w:p w14:paraId="070329EF" w14:textId="77777777" w:rsidR="004D6872" w:rsidRDefault="004D6872">
      <w:pPr>
        <w:spacing w:after="0" w:line="240" w:lineRule="auto"/>
      </w:pPr>
      <w:r>
        <w:continuationSeparator/>
      </w:r>
    </w:p>
  </w:endnote>
  <w:endnote w:type="continuationNotice" w:id="1">
    <w:p w14:paraId="1CDCC2FA" w14:textId="77777777" w:rsidR="004D6872" w:rsidRDefault="004D6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7C89" w14:textId="77777777" w:rsidR="0017022F" w:rsidRDefault="0017022F" w:rsidP="007169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64FB6" w14:textId="77777777" w:rsidR="0017022F" w:rsidRDefault="00170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BDFC" w14:textId="77777777" w:rsidR="0017022F" w:rsidRPr="00532150" w:rsidRDefault="0017022F" w:rsidP="00716943">
    <w:pPr>
      <w:pStyle w:val="Footer"/>
      <w:framePr w:wrap="around" w:vAnchor="text" w:hAnchor="margin" w:xAlign="center" w:y="1"/>
      <w:rPr>
        <w:rStyle w:val="PageNumber"/>
      </w:rPr>
    </w:pPr>
    <w:r w:rsidRPr="00532150">
      <w:rPr>
        <w:rStyle w:val="PageNumber"/>
      </w:rPr>
      <w:fldChar w:fldCharType="begin"/>
    </w:r>
    <w:r w:rsidRPr="00532150">
      <w:rPr>
        <w:rStyle w:val="PageNumber"/>
      </w:rPr>
      <w:instrText xml:space="preserve">PAGE  </w:instrText>
    </w:r>
    <w:r w:rsidRPr="00532150">
      <w:rPr>
        <w:rStyle w:val="PageNumber"/>
      </w:rPr>
      <w:fldChar w:fldCharType="separate"/>
    </w:r>
    <w:r>
      <w:rPr>
        <w:rStyle w:val="PageNumber"/>
      </w:rPr>
      <w:t>2</w:t>
    </w:r>
    <w:r w:rsidRPr="00532150">
      <w:rPr>
        <w:rStyle w:val="PageNumber"/>
      </w:rPr>
      <w:fldChar w:fldCharType="end"/>
    </w:r>
  </w:p>
  <w:p w14:paraId="32723EBF" w14:textId="77777777" w:rsidR="0017022F" w:rsidRPr="00F70193" w:rsidRDefault="0017022F" w:rsidP="0071694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3B6C2" w14:textId="77777777" w:rsidR="0017022F" w:rsidRDefault="0017022F">
    <w:pPr>
      <w:pStyle w:val="Footer"/>
      <w:jc w:val="center"/>
    </w:pPr>
    <w:r>
      <w:fldChar w:fldCharType="begin"/>
    </w:r>
    <w:r>
      <w:instrText xml:space="preserve"> PAGE   \* MERGEFORMAT </w:instrText>
    </w:r>
    <w:r>
      <w:fldChar w:fldCharType="separate"/>
    </w:r>
    <w:r>
      <w:t>1</w:t>
    </w:r>
    <w:r>
      <w:fldChar w:fldCharType="end"/>
    </w:r>
  </w:p>
  <w:p w14:paraId="7096FED9" w14:textId="7F99364C" w:rsidR="0017022F" w:rsidRDefault="0017022F" w:rsidP="003A0BD2">
    <w:pPr>
      <w:pStyle w:val="Footer"/>
      <w:tabs>
        <w:tab w:val="clear" w:pos="4680"/>
        <w:tab w:val="clear" w:pos="9360"/>
        <w:tab w:val="left" w:pos="29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3EC33" w14:textId="77777777" w:rsidR="004D6872" w:rsidRDefault="004D6872">
      <w:pPr>
        <w:spacing w:after="0" w:line="240" w:lineRule="auto"/>
      </w:pPr>
      <w:r>
        <w:separator/>
      </w:r>
    </w:p>
  </w:footnote>
  <w:footnote w:type="continuationSeparator" w:id="0">
    <w:p w14:paraId="24B97413" w14:textId="77777777" w:rsidR="004D6872" w:rsidRDefault="004D6872">
      <w:pPr>
        <w:spacing w:after="0" w:line="240" w:lineRule="auto"/>
      </w:pPr>
      <w:r>
        <w:continuationSeparator/>
      </w:r>
    </w:p>
  </w:footnote>
  <w:footnote w:type="continuationNotice" w:id="1">
    <w:p w14:paraId="0F5B3647" w14:textId="77777777" w:rsidR="004D6872" w:rsidRDefault="004D6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5E71" w14:textId="671D4BAF" w:rsidR="009D62C5" w:rsidRPr="009F4DEF" w:rsidRDefault="00931967" w:rsidP="009F4DEF">
    <w:pPr>
      <w:pStyle w:val="Header"/>
    </w:pPr>
    <w:r>
      <w:rPr>
        <w:noProof/>
      </w:rPr>
      <w:drawing>
        <wp:inline distT="0" distB="0" distL="0" distR="0" wp14:anchorId="69ED6811" wp14:editId="337CD6E9">
          <wp:extent cx="3170488" cy="345775"/>
          <wp:effectExtent l="0" t="0" r="0" b="0"/>
          <wp:docPr id="2" name="Picture 2" descr="C:\Users\local_steerob\INetCache\Content.MSO\5708EE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cal_steerob\INetCache\Content.MSO\5708EEDD.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5723" cy="3932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8BD"/>
    <w:multiLevelType w:val="hybridMultilevel"/>
    <w:tmpl w:val="DAA8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ED1CD8"/>
    <w:multiLevelType w:val="hybridMultilevel"/>
    <w:tmpl w:val="A37C6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0C6560"/>
    <w:multiLevelType w:val="multilevel"/>
    <w:tmpl w:val="C8C6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8D1CA2"/>
    <w:multiLevelType w:val="hybridMultilevel"/>
    <w:tmpl w:val="2E2823BA"/>
    <w:lvl w:ilvl="0" w:tplc="DD327396">
      <w:start w:val="1"/>
      <w:numFmt w:val="bullet"/>
      <w:lvlText w:val=""/>
      <w:lvlJc w:val="left"/>
      <w:pPr>
        <w:ind w:left="1440" w:hanging="360"/>
      </w:pPr>
      <w:rPr>
        <w:rFonts w:ascii="Symbol" w:hAnsi="Symbol"/>
      </w:rPr>
    </w:lvl>
    <w:lvl w:ilvl="1" w:tplc="9BBAC2C2">
      <w:start w:val="1"/>
      <w:numFmt w:val="bullet"/>
      <w:lvlText w:val=""/>
      <w:lvlJc w:val="left"/>
      <w:pPr>
        <w:ind w:left="1440" w:hanging="360"/>
      </w:pPr>
      <w:rPr>
        <w:rFonts w:ascii="Symbol" w:hAnsi="Symbol"/>
      </w:rPr>
    </w:lvl>
    <w:lvl w:ilvl="2" w:tplc="23DAB610">
      <w:start w:val="1"/>
      <w:numFmt w:val="bullet"/>
      <w:lvlText w:val=""/>
      <w:lvlJc w:val="left"/>
      <w:pPr>
        <w:ind w:left="1440" w:hanging="360"/>
      </w:pPr>
      <w:rPr>
        <w:rFonts w:ascii="Symbol" w:hAnsi="Symbol"/>
      </w:rPr>
    </w:lvl>
    <w:lvl w:ilvl="3" w:tplc="F93E43F4">
      <w:start w:val="1"/>
      <w:numFmt w:val="bullet"/>
      <w:lvlText w:val=""/>
      <w:lvlJc w:val="left"/>
      <w:pPr>
        <w:ind w:left="1440" w:hanging="360"/>
      </w:pPr>
      <w:rPr>
        <w:rFonts w:ascii="Symbol" w:hAnsi="Symbol"/>
      </w:rPr>
    </w:lvl>
    <w:lvl w:ilvl="4" w:tplc="654C880E">
      <w:start w:val="1"/>
      <w:numFmt w:val="bullet"/>
      <w:lvlText w:val=""/>
      <w:lvlJc w:val="left"/>
      <w:pPr>
        <w:ind w:left="1440" w:hanging="360"/>
      </w:pPr>
      <w:rPr>
        <w:rFonts w:ascii="Symbol" w:hAnsi="Symbol"/>
      </w:rPr>
    </w:lvl>
    <w:lvl w:ilvl="5" w:tplc="1E1EE096">
      <w:start w:val="1"/>
      <w:numFmt w:val="bullet"/>
      <w:lvlText w:val=""/>
      <w:lvlJc w:val="left"/>
      <w:pPr>
        <w:ind w:left="1440" w:hanging="360"/>
      </w:pPr>
      <w:rPr>
        <w:rFonts w:ascii="Symbol" w:hAnsi="Symbol"/>
      </w:rPr>
    </w:lvl>
    <w:lvl w:ilvl="6" w:tplc="7506D9C0">
      <w:start w:val="1"/>
      <w:numFmt w:val="bullet"/>
      <w:lvlText w:val=""/>
      <w:lvlJc w:val="left"/>
      <w:pPr>
        <w:ind w:left="1440" w:hanging="360"/>
      </w:pPr>
      <w:rPr>
        <w:rFonts w:ascii="Symbol" w:hAnsi="Symbol"/>
      </w:rPr>
    </w:lvl>
    <w:lvl w:ilvl="7" w:tplc="4A4A894C">
      <w:start w:val="1"/>
      <w:numFmt w:val="bullet"/>
      <w:lvlText w:val=""/>
      <w:lvlJc w:val="left"/>
      <w:pPr>
        <w:ind w:left="1440" w:hanging="360"/>
      </w:pPr>
      <w:rPr>
        <w:rFonts w:ascii="Symbol" w:hAnsi="Symbol"/>
      </w:rPr>
    </w:lvl>
    <w:lvl w:ilvl="8" w:tplc="9ED0FAAC">
      <w:start w:val="1"/>
      <w:numFmt w:val="bullet"/>
      <w:lvlText w:val=""/>
      <w:lvlJc w:val="left"/>
      <w:pPr>
        <w:ind w:left="1440" w:hanging="360"/>
      </w:pPr>
      <w:rPr>
        <w:rFonts w:ascii="Symbol" w:hAnsi="Symbol"/>
      </w:rPr>
    </w:lvl>
  </w:abstractNum>
  <w:abstractNum w:abstractNumId="4" w15:restartNumberingAfterBreak="0">
    <w:nsid w:val="36407E95"/>
    <w:multiLevelType w:val="multilevel"/>
    <w:tmpl w:val="1DBC342C"/>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E2AB2"/>
    <w:multiLevelType w:val="hybridMultilevel"/>
    <w:tmpl w:val="51C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EE122"/>
    <w:multiLevelType w:val="hybridMultilevel"/>
    <w:tmpl w:val="FA6228B6"/>
    <w:lvl w:ilvl="0" w:tplc="172EBBF4">
      <w:start w:val="1"/>
      <w:numFmt w:val="bullet"/>
      <w:lvlText w:val=""/>
      <w:lvlJc w:val="left"/>
      <w:pPr>
        <w:ind w:left="720" w:hanging="360"/>
      </w:pPr>
      <w:rPr>
        <w:rFonts w:ascii="Symbol" w:hAnsi="Symbol" w:hint="default"/>
      </w:rPr>
    </w:lvl>
    <w:lvl w:ilvl="1" w:tplc="F2AC63B8">
      <w:start w:val="1"/>
      <w:numFmt w:val="bullet"/>
      <w:lvlText w:val="o"/>
      <w:lvlJc w:val="left"/>
      <w:pPr>
        <w:ind w:left="1440" w:hanging="360"/>
      </w:pPr>
      <w:rPr>
        <w:rFonts w:ascii="Courier New" w:hAnsi="Courier New" w:hint="default"/>
      </w:rPr>
    </w:lvl>
    <w:lvl w:ilvl="2" w:tplc="20A48066">
      <w:start w:val="1"/>
      <w:numFmt w:val="bullet"/>
      <w:lvlText w:val=""/>
      <w:lvlJc w:val="left"/>
      <w:pPr>
        <w:ind w:left="2160" w:hanging="360"/>
      </w:pPr>
      <w:rPr>
        <w:rFonts w:ascii="Wingdings" w:hAnsi="Wingdings" w:hint="default"/>
      </w:rPr>
    </w:lvl>
    <w:lvl w:ilvl="3" w:tplc="6EFC1824">
      <w:start w:val="1"/>
      <w:numFmt w:val="bullet"/>
      <w:lvlText w:val=""/>
      <w:lvlJc w:val="left"/>
      <w:pPr>
        <w:ind w:left="2880" w:hanging="360"/>
      </w:pPr>
      <w:rPr>
        <w:rFonts w:ascii="Symbol" w:hAnsi="Symbol" w:hint="default"/>
      </w:rPr>
    </w:lvl>
    <w:lvl w:ilvl="4" w:tplc="7DC0C0A2">
      <w:start w:val="1"/>
      <w:numFmt w:val="bullet"/>
      <w:lvlText w:val="o"/>
      <w:lvlJc w:val="left"/>
      <w:pPr>
        <w:ind w:left="3600" w:hanging="360"/>
      </w:pPr>
      <w:rPr>
        <w:rFonts w:ascii="Courier New" w:hAnsi="Courier New" w:hint="default"/>
      </w:rPr>
    </w:lvl>
    <w:lvl w:ilvl="5" w:tplc="91502126">
      <w:start w:val="1"/>
      <w:numFmt w:val="bullet"/>
      <w:lvlText w:val=""/>
      <w:lvlJc w:val="left"/>
      <w:pPr>
        <w:ind w:left="4320" w:hanging="360"/>
      </w:pPr>
      <w:rPr>
        <w:rFonts w:ascii="Wingdings" w:hAnsi="Wingdings" w:hint="default"/>
      </w:rPr>
    </w:lvl>
    <w:lvl w:ilvl="6" w:tplc="3990B948">
      <w:start w:val="1"/>
      <w:numFmt w:val="bullet"/>
      <w:lvlText w:val=""/>
      <w:lvlJc w:val="left"/>
      <w:pPr>
        <w:ind w:left="5040" w:hanging="360"/>
      </w:pPr>
      <w:rPr>
        <w:rFonts w:ascii="Symbol" w:hAnsi="Symbol" w:hint="default"/>
      </w:rPr>
    </w:lvl>
    <w:lvl w:ilvl="7" w:tplc="A2A2BCFC">
      <w:start w:val="1"/>
      <w:numFmt w:val="bullet"/>
      <w:lvlText w:val="o"/>
      <w:lvlJc w:val="left"/>
      <w:pPr>
        <w:ind w:left="5760" w:hanging="360"/>
      </w:pPr>
      <w:rPr>
        <w:rFonts w:ascii="Courier New" w:hAnsi="Courier New" w:hint="default"/>
      </w:rPr>
    </w:lvl>
    <w:lvl w:ilvl="8" w:tplc="9C9238CA">
      <w:start w:val="1"/>
      <w:numFmt w:val="bullet"/>
      <w:lvlText w:val=""/>
      <w:lvlJc w:val="left"/>
      <w:pPr>
        <w:ind w:left="6480" w:hanging="360"/>
      </w:pPr>
      <w:rPr>
        <w:rFonts w:ascii="Wingdings" w:hAnsi="Wingdings" w:hint="default"/>
      </w:rPr>
    </w:lvl>
  </w:abstractNum>
  <w:abstractNum w:abstractNumId="7" w15:restartNumberingAfterBreak="0">
    <w:nsid w:val="41687193"/>
    <w:multiLevelType w:val="multilevel"/>
    <w:tmpl w:val="DC4E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2E262E"/>
    <w:multiLevelType w:val="hybridMultilevel"/>
    <w:tmpl w:val="B5FC1128"/>
    <w:lvl w:ilvl="0" w:tplc="10090001">
      <w:start w:val="1"/>
      <w:numFmt w:val="bullet"/>
      <w:lvlText w:val=""/>
      <w:lvlJc w:val="left"/>
      <w:pPr>
        <w:tabs>
          <w:tab w:val="num" w:pos="765"/>
        </w:tabs>
        <w:ind w:left="765" w:hanging="360"/>
      </w:pPr>
      <w:rPr>
        <w:rFonts w:ascii="Symbol" w:hAnsi="Symbol" w:hint="default"/>
      </w:rPr>
    </w:lvl>
    <w:lvl w:ilvl="1" w:tplc="10090003">
      <w:start w:val="1"/>
      <w:numFmt w:val="bullet"/>
      <w:lvlText w:val="o"/>
      <w:lvlJc w:val="left"/>
      <w:pPr>
        <w:tabs>
          <w:tab w:val="num" w:pos="1485"/>
        </w:tabs>
        <w:ind w:left="1485" w:hanging="360"/>
      </w:pPr>
      <w:rPr>
        <w:rFonts w:ascii="Courier New" w:hAnsi="Courier New" w:cs="Courier New" w:hint="default"/>
      </w:rPr>
    </w:lvl>
    <w:lvl w:ilvl="2" w:tplc="10090005" w:tentative="1">
      <w:start w:val="1"/>
      <w:numFmt w:val="bullet"/>
      <w:lvlText w:val=""/>
      <w:lvlJc w:val="left"/>
      <w:pPr>
        <w:tabs>
          <w:tab w:val="num" w:pos="2205"/>
        </w:tabs>
        <w:ind w:left="2205" w:hanging="360"/>
      </w:pPr>
      <w:rPr>
        <w:rFonts w:ascii="Wingdings" w:hAnsi="Wingdings" w:hint="default"/>
      </w:rPr>
    </w:lvl>
    <w:lvl w:ilvl="3" w:tplc="10090001" w:tentative="1">
      <w:start w:val="1"/>
      <w:numFmt w:val="bullet"/>
      <w:lvlText w:val=""/>
      <w:lvlJc w:val="left"/>
      <w:pPr>
        <w:tabs>
          <w:tab w:val="num" w:pos="2925"/>
        </w:tabs>
        <w:ind w:left="2925" w:hanging="360"/>
      </w:pPr>
      <w:rPr>
        <w:rFonts w:ascii="Symbol" w:hAnsi="Symbol" w:hint="default"/>
      </w:rPr>
    </w:lvl>
    <w:lvl w:ilvl="4" w:tplc="10090003" w:tentative="1">
      <w:start w:val="1"/>
      <w:numFmt w:val="bullet"/>
      <w:lvlText w:val="o"/>
      <w:lvlJc w:val="left"/>
      <w:pPr>
        <w:tabs>
          <w:tab w:val="num" w:pos="3645"/>
        </w:tabs>
        <w:ind w:left="3645" w:hanging="360"/>
      </w:pPr>
      <w:rPr>
        <w:rFonts w:ascii="Courier New" w:hAnsi="Courier New" w:cs="Courier New" w:hint="default"/>
      </w:rPr>
    </w:lvl>
    <w:lvl w:ilvl="5" w:tplc="10090005" w:tentative="1">
      <w:start w:val="1"/>
      <w:numFmt w:val="bullet"/>
      <w:lvlText w:val=""/>
      <w:lvlJc w:val="left"/>
      <w:pPr>
        <w:tabs>
          <w:tab w:val="num" w:pos="4365"/>
        </w:tabs>
        <w:ind w:left="4365" w:hanging="360"/>
      </w:pPr>
      <w:rPr>
        <w:rFonts w:ascii="Wingdings" w:hAnsi="Wingdings" w:hint="default"/>
      </w:rPr>
    </w:lvl>
    <w:lvl w:ilvl="6" w:tplc="10090001" w:tentative="1">
      <w:start w:val="1"/>
      <w:numFmt w:val="bullet"/>
      <w:lvlText w:val=""/>
      <w:lvlJc w:val="left"/>
      <w:pPr>
        <w:tabs>
          <w:tab w:val="num" w:pos="5085"/>
        </w:tabs>
        <w:ind w:left="5085" w:hanging="360"/>
      </w:pPr>
      <w:rPr>
        <w:rFonts w:ascii="Symbol" w:hAnsi="Symbol" w:hint="default"/>
      </w:rPr>
    </w:lvl>
    <w:lvl w:ilvl="7" w:tplc="10090003" w:tentative="1">
      <w:start w:val="1"/>
      <w:numFmt w:val="bullet"/>
      <w:lvlText w:val="o"/>
      <w:lvlJc w:val="left"/>
      <w:pPr>
        <w:tabs>
          <w:tab w:val="num" w:pos="5805"/>
        </w:tabs>
        <w:ind w:left="5805" w:hanging="360"/>
      </w:pPr>
      <w:rPr>
        <w:rFonts w:ascii="Courier New" w:hAnsi="Courier New" w:cs="Courier New" w:hint="default"/>
      </w:rPr>
    </w:lvl>
    <w:lvl w:ilvl="8" w:tplc="10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5575274D"/>
    <w:multiLevelType w:val="hybridMultilevel"/>
    <w:tmpl w:val="EE66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EB579"/>
    <w:multiLevelType w:val="hybridMultilevel"/>
    <w:tmpl w:val="B05AF960"/>
    <w:lvl w:ilvl="0" w:tplc="6E760806">
      <w:start w:val="1"/>
      <w:numFmt w:val="bullet"/>
      <w:lvlText w:val=""/>
      <w:lvlJc w:val="left"/>
      <w:pPr>
        <w:ind w:left="720" w:hanging="360"/>
      </w:pPr>
      <w:rPr>
        <w:rFonts w:ascii="Symbol" w:hAnsi="Symbol" w:hint="default"/>
      </w:rPr>
    </w:lvl>
    <w:lvl w:ilvl="1" w:tplc="1BDE716E">
      <w:start w:val="1"/>
      <w:numFmt w:val="bullet"/>
      <w:lvlText w:val="o"/>
      <w:lvlJc w:val="left"/>
      <w:pPr>
        <w:ind w:left="1440" w:hanging="360"/>
      </w:pPr>
      <w:rPr>
        <w:rFonts w:ascii="Courier New" w:hAnsi="Courier New" w:hint="default"/>
      </w:rPr>
    </w:lvl>
    <w:lvl w:ilvl="2" w:tplc="FD9AC2F0">
      <w:start w:val="1"/>
      <w:numFmt w:val="bullet"/>
      <w:lvlText w:val=""/>
      <w:lvlJc w:val="left"/>
      <w:pPr>
        <w:ind w:left="2160" w:hanging="360"/>
      </w:pPr>
      <w:rPr>
        <w:rFonts w:ascii="Wingdings" w:hAnsi="Wingdings" w:hint="default"/>
      </w:rPr>
    </w:lvl>
    <w:lvl w:ilvl="3" w:tplc="13562A9A">
      <w:start w:val="1"/>
      <w:numFmt w:val="bullet"/>
      <w:lvlText w:val=""/>
      <w:lvlJc w:val="left"/>
      <w:pPr>
        <w:ind w:left="2880" w:hanging="360"/>
      </w:pPr>
      <w:rPr>
        <w:rFonts w:ascii="Symbol" w:hAnsi="Symbol" w:hint="default"/>
      </w:rPr>
    </w:lvl>
    <w:lvl w:ilvl="4" w:tplc="AA806B30">
      <w:start w:val="1"/>
      <w:numFmt w:val="bullet"/>
      <w:lvlText w:val="o"/>
      <w:lvlJc w:val="left"/>
      <w:pPr>
        <w:ind w:left="3600" w:hanging="360"/>
      </w:pPr>
      <w:rPr>
        <w:rFonts w:ascii="Courier New" w:hAnsi="Courier New" w:hint="default"/>
      </w:rPr>
    </w:lvl>
    <w:lvl w:ilvl="5" w:tplc="9E0222EC">
      <w:start w:val="1"/>
      <w:numFmt w:val="bullet"/>
      <w:lvlText w:val=""/>
      <w:lvlJc w:val="left"/>
      <w:pPr>
        <w:ind w:left="4320" w:hanging="360"/>
      </w:pPr>
      <w:rPr>
        <w:rFonts w:ascii="Wingdings" w:hAnsi="Wingdings" w:hint="default"/>
      </w:rPr>
    </w:lvl>
    <w:lvl w:ilvl="6" w:tplc="2C2883D8">
      <w:start w:val="1"/>
      <w:numFmt w:val="bullet"/>
      <w:lvlText w:val=""/>
      <w:lvlJc w:val="left"/>
      <w:pPr>
        <w:ind w:left="5040" w:hanging="360"/>
      </w:pPr>
      <w:rPr>
        <w:rFonts w:ascii="Symbol" w:hAnsi="Symbol" w:hint="default"/>
      </w:rPr>
    </w:lvl>
    <w:lvl w:ilvl="7" w:tplc="76783446">
      <w:start w:val="1"/>
      <w:numFmt w:val="bullet"/>
      <w:lvlText w:val="o"/>
      <w:lvlJc w:val="left"/>
      <w:pPr>
        <w:ind w:left="5760" w:hanging="360"/>
      </w:pPr>
      <w:rPr>
        <w:rFonts w:ascii="Courier New" w:hAnsi="Courier New" w:hint="default"/>
      </w:rPr>
    </w:lvl>
    <w:lvl w:ilvl="8" w:tplc="DE52AED8">
      <w:start w:val="1"/>
      <w:numFmt w:val="bullet"/>
      <w:lvlText w:val=""/>
      <w:lvlJc w:val="left"/>
      <w:pPr>
        <w:ind w:left="6480" w:hanging="360"/>
      </w:pPr>
      <w:rPr>
        <w:rFonts w:ascii="Wingdings" w:hAnsi="Wingdings" w:hint="default"/>
      </w:rPr>
    </w:lvl>
  </w:abstractNum>
  <w:abstractNum w:abstractNumId="11" w15:restartNumberingAfterBreak="0">
    <w:nsid w:val="5E510DF7"/>
    <w:multiLevelType w:val="hybridMultilevel"/>
    <w:tmpl w:val="DCBE1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6D82C26"/>
    <w:multiLevelType w:val="hybridMultilevel"/>
    <w:tmpl w:val="D034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BB5958"/>
    <w:multiLevelType w:val="hybridMultilevel"/>
    <w:tmpl w:val="937A36F4"/>
    <w:lvl w:ilvl="0" w:tplc="10090001">
      <w:start w:val="1"/>
      <w:numFmt w:val="bullet"/>
      <w:lvlText w:val=""/>
      <w:lvlJc w:val="left"/>
      <w:pPr>
        <w:tabs>
          <w:tab w:val="num" w:pos="720"/>
        </w:tabs>
        <w:ind w:left="720" w:hanging="360"/>
      </w:pPr>
      <w:rPr>
        <w:rFonts w:ascii="Symbol" w:hAnsi="Symbol"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7A6F4DE4"/>
    <w:multiLevelType w:val="hybridMultilevel"/>
    <w:tmpl w:val="D4AC6688"/>
    <w:lvl w:ilvl="0" w:tplc="D530474C">
      <w:start w:val="1"/>
      <w:numFmt w:val="bullet"/>
      <w:lvlText w:val=""/>
      <w:lvlJc w:val="left"/>
      <w:pPr>
        <w:ind w:left="1440" w:hanging="360"/>
      </w:pPr>
      <w:rPr>
        <w:rFonts w:ascii="Symbol" w:hAnsi="Symbol"/>
      </w:rPr>
    </w:lvl>
    <w:lvl w:ilvl="1" w:tplc="9F2862F6">
      <w:start w:val="1"/>
      <w:numFmt w:val="bullet"/>
      <w:lvlText w:val=""/>
      <w:lvlJc w:val="left"/>
      <w:pPr>
        <w:ind w:left="1440" w:hanging="360"/>
      </w:pPr>
      <w:rPr>
        <w:rFonts w:ascii="Symbol" w:hAnsi="Symbol"/>
      </w:rPr>
    </w:lvl>
    <w:lvl w:ilvl="2" w:tplc="D5EE9640">
      <w:start w:val="1"/>
      <w:numFmt w:val="bullet"/>
      <w:lvlText w:val=""/>
      <w:lvlJc w:val="left"/>
      <w:pPr>
        <w:ind w:left="1440" w:hanging="360"/>
      </w:pPr>
      <w:rPr>
        <w:rFonts w:ascii="Symbol" w:hAnsi="Symbol"/>
      </w:rPr>
    </w:lvl>
    <w:lvl w:ilvl="3" w:tplc="9A3686A6">
      <w:start w:val="1"/>
      <w:numFmt w:val="bullet"/>
      <w:lvlText w:val=""/>
      <w:lvlJc w:val="left"/>
      <w:pPr>
        <w:ind w:left="1440" w:hanging="360"/>
      </w:pPr>
      <w:rPr>
        <w:rFonts w:ascii="Symbol" w:hAnsi="Symbol"/>
      </w:rPr>
    </w:lvl>
    <w:lvl w:ilvl="4" w:tplc="035AF0F2">
      <w:start w:val="1"/>
      <w:numFmt w:val="bullet"/>
      <w:lvlText w:val=""/>
      <w:lvlJc w:val="left"/>
      <w:pPr>
        <w:ind w:left="1440" w:hanging="360"/>
      </w:pPr>
      <w:rPr>
        <w:rFonts w:ascii="Symbol" w:hAnsi="Symbol"/>
      </w:rPr>
    </w:lvl>
    <w:lvl w:ilvl="5" w:tplc="015094E2">
      <w:start w:val="1"/>
      <w:numFmt w:val="bullet"/>
      <w:lvlText w:val=""/>
      <w:lvlJc w:val="left"/>
      <w:pPr>
        <w:ind w:left="1440" w:hanging="360"/>
      </w:pPr>
      <w:rPr>
        <w:rFonts w:ascii="Symbol" w:hAnsi="Symbol"/>
      </w:rPr>
    </w:lvl>
    <w:lvl w:ilvl="6" w:tplc="177C47C2">
      <w:start w:val="1"/>
      <w:numFmt w:val="bullet"/>
      <w:lvlText w:val=""/>
      <w:lvlJc w:val="left"/>
      <w:pPr>
        <w:ind w:left="1440" w:hanging="360"/>
      </w:pPr>
      <w:rPr>
        <w:rFonts w:ascii="Symbol" w:hAnsi="Symbol"/>
      </w:rPr>
    </w:lvl>
    <w:lvl w:ilvl="7" w:tplc="4A643C8C">
      <w:start w:val="1"/>
      <w:numFmt w:val="bullet"/>
      <w:lvlText w:val=""/>
      <w:lvlJc w:val="left"/>
      <w:pPr>
        <w:ind w:left="1440" w:hanging="360"/>
      </w:pPr>
      <w:rPr>
        <w:rFonts w:ascii="Symbol" w:hAnsi="Symbol"/>
      </w:rPr>
    </w:lvl>
    <w:lvl w:ilvl="8" w:tplc="2D14C1B8">
      <w:start w:val="1"/>
      <w:numFmt w:val="bullet"/>
      <w:lvlText w:val=""/>
      <w:lvlJc w:val="left"/>
      <w:pPr>
        <w:ind w:left="1440" w:hanging="360"/>
      </w:pPr>
      <w:rPr>
        <w:rFonts w:ascii="Symbol" w:hAnsi="Symbol"/>
      </w:rPr>
    </w:lvl>
  </w:abstractNum>
  <w:num w:numId="1">
    <w:abstractNumId w:val="6"/>
  </w:num>
  <w:num w:numId="2">
    <w:abstractNumId w:val="10"/>
  </w:num>
  <w:num w:numId="3">
    <w:abstractNumId w:val="13"/>
  </w:num>
  <w:num w:numId="4">
    <w:abstractNumId w:val="8"/>
  </w:num>
  <w:num w:numId="5">
    <w:abstractNumId w:val="5"/>
  </w:num>
  <w:num w:numId="6">
    <w:abstractNumId w:val="1"/>
  </w:num>
  <w:num w:numId="7">
    <w:abstractNumId w:val="4"/>
  </w:num>
  <w:num w:numId="8">
    <w:abstractNumId w:val="2"/>
  </w:num>
  <w:num w:numId="9">
    <w:abstractNumId w:val="7"/>
  </w:num>
  <w:num w:numId="10">
    <w:abstractNumId w:val="1"/>
  </w:num>
  <w:num w:numId="11">
    <w:abstractNumId w:val="1"/>
  </w:num>
  <w:num w:numId="12">
    <w:abstractNumId w:val="0"/>
  </w:num>
  <w:num w:numId="13">
    <w:abstractNumId w:val="11"/>
  </w:num>
  <w:num w:numId="14">
    <w:abstractNumId w:val="3"/>
  </w:num>
  <w:num w:numId="15">
    <w:abstractNumId w:val="9"/>
  </w:num>
  <w:num w:numId="16">
    <w:abstractNumId w:val="14"/>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BB"/>
    <w:rsid w:val="000000A3"/>
    <w:rsid w:val="000007E1"/>
    <w:rsid w:val="00001DDC"/>
    <w:rsid w:val="000027E5"/>
    <w:rsid w:val="00004A5A"/>
    <w:rsid w:val="0000748D"/>
    <w:rsid w:val="00007D2C"/>
    <w:rsid w:val="00010F70"/>
    <w:rsid w:val="000122E6"/>
    <w:rsid w:val="0001352F"/>
    <w:rsid w:val="00014B95"/>
    <w:rsid w:val="00015406"/>
    <w:rsid w:val="000164D3"/>
    <w:rsid w:val="00016626"/>
    <w:rsid w:val="00017C31"/>
    <w:rsid w:val="00021297"/>
    <w:rsid w:val="00021CC4"/>
    <w:rsid w:val="00022D41"/>
    <w:rsid w:val="00024A02"/>
    <w:rsid w:val="000263DF"/>
    <w:rsid w:val="000270E3"/>
    <w:rsid w:val="00027D4A"/>
    <w:rsid w:val="000322F4"/>
    <w:rsid w:val="0003609D"/>
    <w:rsid w:val="0003750B"/>
    <w:rsid w:val="00037DB3"/>
    <w:rsid w:val="00040B3D"/>
    <w:rsid w:val="000428FD"/>
    <w:rsid w:val="00042EF9"/>
    <w:rsid w:val="00044A14"/>
    <w:rsid w:val="00047196"/>
    <w:rsid w:val="00051D6E"/>
    <w:rsid w:val="00052CD1"/>
    <w:rsid w:val="00053822"/>
    <w:rsid w:val="00054953"/>
    <w:rsid w:val="00060039"/>
    <w:rsid w:val="00061072"/>
    <w:rsid w:val="0006209C"/>
    <w:rsid w:val="00062C7F"/>
    <w:rsid w:val="0006511F"/>
    <w:rsid w:val="00065F81"/>
    <w:rsid w:val="00070927"/>
    <w:rsid w:val="000714C8"/>
    <w:rsid w:val="000722E1"/>
    <w:rsid w:val="0007245A"/>
    <w:rsid w:val="00072C88"/>
    <w:rsid w:val="00073CEC"/>
    <w:rsid w:val="00073EE3"/>
    <w:rsid w:val="00076ECC"/>
    <w:rsid w:val="000800A0"/>
    <w:rsid w:val="0008083C"/>
    <w:rsid w:val="000833F6"/>
    <w:rsid w:val="00084E25"/>
    <w:rsid w:val="0008623B"/>
    <w:rsid w:val="0008706A"/>
    <w:rsid w:val="00087635"/>
    <w:rsid w:val="000923E5"/>
    <w:rsid w:val="00093399"/>
    <w:rsid w:val="00094BE9"/>
    <w:rsid w:val="000A0C65"/>
    <w:rsid w:val="000A0EAD"/>
    <w:rsid w:val="000A640A"/>
    <w:rsid w:val="000A67D9"/>
    <w:rsid w:val="000A6C99"/>
    <w:rsid w:val="000A7097"/>
    <w:rsid w:val="000A761A"/>
    <w:rsid w:val="000A77FE"/>
    <w:rsid w:val="000B227F"/>
    <w:rsid w:val="000B7403"/>
    <w:rsid w:val="000C1595"/>
    <w:rsid w:val="000C41A5"/>
    <w:rsid w:val="000C453E"/>
    <w:rsid w:val="000C483C"/>
    <w:rsid w:val="000C48E3"/>
    <w:rsid w:val="000C561B"/>
    <w:rsid w:val="000C6BC0"/>
    <w:rsid w:val="000C7128"/>
    <w:rsid w:val="000D62B8"/>
    <w:rsid w:val="000D6D86"/>
    <w:rsid w:val="000D7BD2"/>
    <w:rsid w:val="000D7EED"/>
    <w:rsid w:val="000E0022"/>
    <w:rsid w:val="000E1D3F"/>
    <w:rsid w:val="000E345A"/>
    <w:rsid w:val="000E7407"/>
    <w:rsid w:val="000F0428"/>
    <w:rsid w:val="000F147F"/>
    <w:rsid w:val="000F2BD0"/>
    <w:rsid w:val="000F2D72"/>
    <w:rsid w:val="000F4033"/>
    <w:rsid w:val="000F519B"/>
    <w:rsid w:val="000F5898"/>
    <w:rsid w:val="000F7102"/>
    <w:rsid w:val="000F71FF"/>
    <w:rsid w:val="000F7375"/>
    <w:rsid w:val="000F7E17"/>
    <w:rsid w:val="00101172"/>
    <w:rsid w:val="00102D52"/>
    <w:rsid w:val="001055F7"/>
    <w:rsid w:val="001065AC"/>
    <w:rsid w:val="0010660F"/>
    <w:rsid w:val="00110E91"/>
    <w:rsid w:val="00114DDC"/>
    <w:rsid w:val="00120C2D"/>
    <w:rsid w:val="001211F2"/>
    <w:rsid w:val="00122C8F"/>
    <w:rsid w:val="001236AB"/>
    <w:rsid w:val="00123781"/>
    <w:rsid w:val="001248DA"/>
    <w:rsid w:val="0013003C"/>
    <w:rsid w:val="00130124"/>
    <w:rsid w:val="00131B04"/>
    <w:rsid w:val="00133E38"/>
    <w:rsid w:val="00134736"/>
    <w:rsid w:val="001352C9"/>
    <w:rsid w:val="00135F4A"/>
    <w:rsid w:val="0013662E"/>
    <w:rsid w:val="00136848"/>
    <w:rsid w:val="001374C9"/>
    <w:rsid w:val="00145291"/>
    <w:rsid w:val="00145B9A"/>
    <w:rsid w:val="0014656A"/>
    <w:rsid w:val="00146EB1"/>
    <w:rsid w:val="00147676"/>
    <w:rsid w:val="00147910"/>
    <w:rsid w:val="00147E67"/>
    <w:rsid w:val="00150074"/>
    <w:rsid w:val="001501B1"/>
    <w:rsid w:val="0015027E"/>
    <w:rsid w:val="00151243"/>
    <w:rsid w:val="00151F48"/>
    <w:rsid w:val="00152928"/>
    <w:rsid w:val="001555A5"/>
    <w:rsid w:val="00156FC2"/>
    <w:rsid w:val="0016093C"/>
    <w:rsid w:val="00162B50"/>
    <w:rsid w:val="00163A55"/>
    <w:rsid w:val="00164353"/>
    <w:rsid w:val="0016554A"/>
    <w:rsid w:val="0016726E"/>
    <w:rsid w:val="00167461"/>
    <w:rsid w:val="0017022F"/>
    <w:rsid w:val="001703AB"/>
    <w:rsid w:val="00170C6A"/>
    <w:rsid w:val="00171B96"/>
    <w:rsid w:val="00171EAC"/>
    <w:rsid w:val="00172558"/>
    <w:rsid w:val="00172AAA"/>
    <w:rsid w:val="001735E2"/>
    <w:rsid w:val="00176DFC"/>
    <w:rsid w:val="00177D56"/>
    <w:rsid w:val="00180165"/>
    <w:rsid w:val="00182F66"/>
    <w:rsid w:val="00185423"/>
    <w:rsid w:val="00186D91"/>
    <w:rsid w:val="001903A1"/>
    <w:rsid w:val="0019162C"/>
    <w:rsid w:val="00192176"/>
    <w:rsid w:val="0019421C"/>
    <w:rsid w:val="001955F4"/>
    <w:rsid w:val="001979BB"/>
    <w:rsid w:val="001A113D"/>
    <w:rsid w:val="001A11F3"/>
    <w:rsid w:val="001A2ED9"/>
    <w:rsid w:val="001A38F6"/>
    <w:rsid w:val="001A53F4"/>
    <w:rsid w:val="001A7027"/>
    <w:rsid w:val="001A77E7"/>
    <w:rsid w:val="001A7C72"/>
    <w:rsid w:val="001B0F2B"/>
    <w:rsid w:val="001B11F5"/>
    <w:rsid w:val="001B1E8D"/>
    <w:rsid w:val="001B32E0"/>
    <w:rsid w:val="001B3CB5"/>
    <w:rsid w:val="001B4398"/>
    <w:rsid w:val="001C09D1"/>
    <w:rsid w:val="001C10C7"/>
    <w:rsid w:val="001C2B8D"/>
    <w:rsid w:val="001C445E"/>
    <w:rsid w:val="001C4F94"/>
    <w:rsid w:val="001C531C"/>
    <w:rsid w:val="001C693E"/>
    <w:rsid w:val="001C708C"/>
    <w:rsid w:val="001C74A0"/>
    <w:rsid w:val="001D12A4"/>
    <w:rsid w:val="001D55F6"/>
    <w:rsid w:val="001D5A99"/>
    <w:rsid w:val="001D737E"/>
    <w:rsid w:val="001E175F"/>
    <w:rsid w:val="001E1774"/>
    <w:rsid w:val="001E24D7"/>
    <w:rsid w:val="001E48CD"/>
    <w:rsid w:val="001E5B87"/>
    <w:rsid w:val="001E7602"/>
    <w:rsid w:val="001E7EF4"/>
    <w:rsid w:val="001F109B"/>
    <w:rsid w:val="001F1BBB"/>
    <w:rsid w:val="001F1E87"/>
    <w:rsid w:val="001F54D6"/>
    <w:rsid w:val="001F717E"/>
    <w:rsid w:val="001F7D5B"/>
    <w:rsid w:val="00200ACA"/>
    <w:rsid w:val="00200B6D"/>
    <w:rsid w:val="0020284C"/>
    <w:rsid w:val="00202A6E"/>
    <w:rsid w:val="0020426A"/>
    <w:rsid w:val="0020540D"/>
    <w:rsid w:val="00205FD0"/>
    <w:rsid w:val="002064A9"/>
    <w:rsid w:val="002070D4"/>
    <w:rsid w:val="002073FF"/>
    <w:rsid w:val="0020749B"/>
    <w:rsid w:val="0021089E"/>
    <w:rsid w:val="00210FE3"/>
    <w:rsid w:val="0021132D"/>
    <w:rsid w:val="00213536"/>
    <w:rsid w:val="00213F85"/>
    <w:rsid w:val="00220B95"/>
    <w:rsid w:val="00221215"/>
    <w:rsid w:val="00221881"/>
    <w:rsid w:val="002228DB"/>
    <w:rsid w:val="00223823"/>
    <w:rsid w:val="0022689A"/>
    <w:rsid w:val="002308C9"/>
    <w:rsid w:val="00233A0F"/>
    <w:rsid w:val="0023510F"/>
    <w:rsid w:val="00236115"/>
    <w:rsid w:val="00240028"/>
    <w:rsid w:val="002402A5"/>
    <w:rsid w:val="00242197"/>
    <w:rsid w:val="00242B85"/>
    <w:rsid w:val="002430B4"/>
    <w:rsid w:val="0024311C"/>
    <w:rsid w:val="00243840"/>
    <w:rsid w:val="002444E9"/>
    <w:rsid w:val="002448DD"/>
    <w:rsid w:val="00244C8F"/>
    <w:rsid w:val="00245EB7"/>
    <w:rsid w:val="002460B9"/>
    <w:rsid w:val="00247098"/>
    <w:rsid w:val="002476E0"/>
    <w:rsid w:val="00247887"/>
    <w:rsid w:val="00247EBB"/>
    <w:rsid w:val="00250B47"/>
    <w:rsid w:val="00250FBE"/>
    <w:rsid w:val="002519DB"/>
    <w:rsid w:val="00253D00"/>
    <w:rsid w:val="00253FFC"/>
    <w:rsid w:val="002540AA"/>
    <w:rsid w:val="0025793C"/>
    <w:rsid w:val="00260082"/>
    <w:rsid w:val="0026096B"/>
    <w:rsid w:val="002622B2"/>
    <w:rsid w:val="00263366"/>
    <w:rsid w:val="00263AF0"/>
    <w:rsid w:val="0026442A"/>
    <w:rsid w:val="0026482C"/>
    <w:rsid w:val="00265203"/>
    <w:rsid w:val="00265385"/>
    <w:rsid w:val="002657B8"/>
    <w:rsid w:val="00266C79"/>
    <w:rsid w:val="00267EA4"/>
    <w:rsid w:val="00272961"/>
    <w:rsid w:val="00272A7A"/>
    <w:rsid w:val="00276D27"/>
    <w:rsid w:val="002815E5"/>
    <w:rsid w:val="0028176F"/>
    <w:rsid w:val="002837D4"/>
    <w:rsid w:val="00285E0B"/>
    <w:rsid w:val="00285F7F"/>
    <w:rsid w:val="0029371B"/>
    <w:rsid w:val="0029396C"/>
    <w:rsid w:val="0029460D"/>
    <w:rsid w:val="00295486"/>
    <w:rsid w:val="002954DD"/>
    <w:rsid w:val="00295CD4"/>
    <w:rsid w:val="002A0C80"/>
    <w:rsid w:val="002A4362"/>
    <w:rsid w:val="002A748F"/>
    <w:rsid w:val="002A7BCA"/>
    <w:rsid w:val="002B11C0"/>
    <w:rsid w:val="002B1B82"/>
    <w:rsid w:val="002B2DC8"/>
    <w:rsid w:val="002B3B8D"/>
    <w:rsid w:val="002B68DE"/>
    <w:rsid w:val="002B6B1A"/>
    <w:rsid w:val="002B6C5A"/>
    <w:rsid w:val="002B703A"/>
    <w:rsid w:val="002B747C"/>
    <w:rsid w:val="002B7F76"/>
    <w:rsid w:val="002C254B"/>
    <w:rsid w:val="002C46C6"/>
    <w:rsid w:val="002C6033"/>
    <w:rsid w:val="002C629E"/>
    <w:rsid w:val="002C785E"/>
    <w:rsid w:val="002D0C59"/>
    <w:rsid w:val="002D10BF"/>
    <w:rsid w:val="002D1862"/>
    <w:rsid w:val="002D31D9"/>
    <w:rsid w:val="002D4EF7"/>
    <w:rsid w:val="002D5F86"/>
    <w:rsid w:val="002D77A3"/>
    <w:rsid w:val="002D7CB1"/>
    <w:rsid w:val="002E04F3"/>
    <w:rsid w:val="002E20A1"/>
    <w:rsid w:val="002E3392"/>
    <w:rsid w:val="002E391C"/>
    <w:rsid w:val="002E540C"/>
    <w:rsid w:val="002E5C2F"/>
    <w:rsid w:val="002E68A3"/>
    <w:rsid w:val="002E762B"/>
    <w:rsid w:val="002F18A1"/>
    <w:rsid w:val="002F5A99"/>
    <w:rsid w:val="002F6184"/>
    <w:rsid w:val="002F7E56"/>
    <w:rsid w:val="00302C4C"/>
    <w:rsid w:val="00305956"/>
    <w:rsid w:val="003068CB"/>
    <w:rsid w:val="00306ACD"/>
    <w:rsid w:val="00310FBD"/>
    <w:rsid w:val="00311930"/>
    <w:rsid w:val="00311ED2"/>
    <w:rsid w:val="003122AA"/>
    <w:rsid w:val="00312397"/>
    <w:rsid w:val="00312D51"/>
    <w:rsid w:val="00314BB5"/>
    <w:rsid w:val="00314E2B"/>
    <w:rsid w:val="00316811"/>
    <w:rsid w:val="003168C3"/>
    <w:rsid w:val="0032079D"/>
    <w:rsid w:val="0032108F"/>
    <w:rsid w:val="00321435"/>
    <w:rsid w:val="00325A13"/>
    <w:rsid w:val="00325EA6"/>
    <w:rsid w:val="00330B57"/>
    <w:rsid w:val="003327FD"/>
    <w:rsid w:val="003335CC"/>
    <w:rsid w:val="003353F8"/>
    <w:rsid w:val="003366FD"/>
    <w:rsid w:val="00337C66"/>
    <w:rsid w:val="0034037B"/>
    <w:rsid w:val="003406C9"/>
    <w:rsid w:val="0034081B"/>
    <w:rsid w:val="00340F27"/>
    <w:rsid w:val="00341BD6"/>
    <w:rsid w:val="0034481A"/>
    <w:rsid w:val="00344E21"/>
    <w:rsid w:val="00346490"/>
    <w:rsid w:val="00346ADA"/>
    <w:rsid w:val="00347836"/>
    <w:rsid w:val="003479BF"/>
    <w:rsid w:val="00347DF5"/>
    <w:rsid w:val="00350091"/>
    <w:rsid w:val="00351545"/>
    <w:rsid w:val="003555FD"/>
    <w:rsid w:val="00355C5F"/>
    <w:rsid w:val="00360E51"/>
    <w:rsid w:val="003615CE"/>
    <w:rsid w:val="00361E9A"/>
    <w:rsid w:val="0036273F"/>
    <w:rsid w:val="00364EFE"/>
    <w:rsid w:val="00366CD7"/>
    <w:rsid w:val="0036783C"/>
    <w:rsid w:val="00370D63"/>
    <w:rsid w:val="00373C62"/>
    <w:rsid w:val="003767F7"/>
    <w:rsid w:val="0038147A"/>
    <w:rsid w:val="00381AA9"/>
    <w:rsid w:val="00382BAA"/>
    <w:rsid w:val="003833EB"/>
    <w:rsid w:val="0038482A"/>
    <w:rsid w:val="003853CF"/>
    <w:rsid w:val="00385DCC"/>
    <w:rsid w:val="0038655D"/>
    <w:rsid w:val="00387EFD"/>
    <w:rsid w:val="00390BA7"/>
    <w:rsid w:val="00391388"/>
    <w:rsid w:val="00393440"/>
    <w:rsid w:val="0039681F"/>
    <w:rsid w:val="00397B9D"/>
    <w:rsid w:val="003A0BD2"/>
    <w:rsid w:val="003A386E"/>
    <w:rsid w:val="003A42C0"/>
    <w:rsid w:val="003A4F3A"/>
    <w:rsid w:val="003A51F4"/>
    <w:rsid w:val="003A54AF"/>
    <w:rsid w:val="003A5E35"/>
    <w:rsid w:val="003A5F76"/>
    <w:rsid w:val="003A643C"/>
    <w:rsid w:val="003A6759"/>
    <w:rsid w:val="003A7066"/>
    <w:rsid w:val="003A7088"/>
    <w:rsid w:val="003A7EF0"/>
    <w:rsid w:val="003A7F90"/>
    <w:rsid w:val="003B108A"/>
    <w:rsid w:val="003B231D"/>
    <w:rsid w:val="003B6EB5"/>
    <w:rsid w:val="003B742B"/>
    <w:rsid w:val="003C0F61"/>
    <w:rsid w:val="003C3950"/>
    <w:rsid w:val="003C3AEE"/>
    <w:rsid w:val="003C4981"/>
    <w:rsid w:val="003C4B45"/>
    <w:rsid w:val="003C4DBC"/>
    <w:rsid w:val="003C5EC6"/>
    <w:rsid w:val="003C6199"/>
    <w:rsid w:val="003C64D3"/>
    <w:rsid w:val="003C6D25"/>
    <w:rsid w:val="003C7303"/>
    <w:rsid w:val="003D0116"/>
    <w:rsid w:val="003D11A7"/>
    <w:rsid w:val="003D154B"/>
    <w:rsid w:val="003D1C74"/>
    <w:rsid w:val="003D2E7A"/>
    <w:rsid w:val="003D349A"/>
    <w:rsid w:val="003D3EE8"/>
    <w:rsid w:val="003D3F93"/>
    <w:rsid w:val="003D4E93"/>
    <w:rsid w:val="003D7472"/>
    <w:rsid w:val="003D7E32"/>
    <w:rsid w:val="003E10FF"/>
    <w:rsid w:val="003E517B"/>
    <w:rsid w:val="003E6A11"/>
    <w:rsid w:val="003E6FB5"/>
    <w:rsid w:val="003E77A6"/>
    <w:rsid w:val="003F0B26"/>
    <w:rsid w:val="003F1572"/>
    <w:rsid w:val="003F3B6B"/>
    <w:rsid w:val="003F4022"/>
    <w:rsid w:val="003F4A70"/>
    <w:rsid w:val="003F6A69"/>
    <w:rsid w:val="003F6B41"/>
    <w:rsid w:val="003F7841"/>
    <w:rsid w:val="00400E8C"/>
    <w:rsid w:val="00400F7D"/>
    <w:rsid w:val="004014B5"/>
    <w:rsid w:val="004057C8"/>
    <w:rsid w:val="00410705"/>
    <w:rsid w:val="00410C40"/>
    <w:rsid w:val="00411C65"/>
    <w:rsid w:val="004124EE"/>
    <w:rsid w:val="00417336"/>
    <w:rsid w:val="00417F37"/>
    <w:rsid w:val="0042161B"/>
    <w:rsid w:val="00421D54"/>
    <w:rsid w:val="00422A57"/>
    <w:rsid w:val="0042408A"/>
    <w:rsid w:val="004258B9"/>
    <w:rsid w:val="00431E52"/>
    <w:rsid w:val="00432D28"/>
    <w:rsid w:val="00435EE1"/>
    <w:rsid w:val="00440B10"/>
    <w:rsid w:val="0044171F"/>
    <w:rsid w:val="00442D16"/>
    <w:rsid w:val="00444838"/>
    <w:rsid w:val="00446596"/>
    <w:rsid w:val="00447771"/>
    <w:rsid w:val="00451CCC"/>
    <w:rsid w:val="00452435"/>
    <w:rsid w:val="00452E26"/>
    <w:rsid w:val="00456222"/>
    <w:rsid w:val="00460812"/>
    <w:rsid w:val="0046104F"/>
    <w:rsid w:val="0046114F"/>
    <w:rsid w:val="00466B98"/>
    <w:rsid w:val="00467B30"/>
    <w:rsid w:val="00467FE6"/>
    <w:rsid w:val="00470428"/>
    <w:rsid w:val="004705F8"/>
    <w:rsid w:val="00471557"/>
    <w:rsid w:val="0047181E"/>
    <w:rsid w:val="00473B96"/>
    <w:rsid w:val="00473BDA"/>
    <w:rsid w:val="0047541A"/>
    <w:rsid w:val="00477B98"/>
    <w:rsid w:val="00482FA2"/>
    <w:rsid w:val="00484681"/>
    <w:rsid w:val="0048729F"/>
    <w:rsid w:val="00487443"/>
    <w:rsid w:val="00490EF4"/>
    <w:rsid w:val="00492C28"/>
    <w:rsid w:val="00493180"/>
    <w:rsid w:val="00495262"/>
    <w:rsid w:val="004972E2"/>
    <w:rsid w:val="004A0339"/>
    <w:rsid w:val="004A1FEE"/>
    <w:rsid w:val="004A2AE3"/>
    <w:rsid w:val="004A3965"/>
    <w:rsid w:val="004A4573"/>
    <w:rsid w:val="004A4CA4"/>
    <w:rsid w:val="004A5FCA"/>
    <w:rsid w:val="004B0F4D"/>
    <w:rsid w:val="004B1849"/>
    <w:rsid w:val="004B50CB"/>
    <w:rsid w:val="004B6459"/>
    <w:rsid w:val="004B76A3"/>
    <w:rsid w:val="004B7896"/>
    <w:rsid w:val="004C1F9A"/>
    <w:rsid w:val="004C294D"/>
    <w:rsid w:val="004C2989"/>
    <w:rsid w:val="004C3FC7"/>
    <w:rsid w:val="004C4871"/>
    <w:rsid w:val="004C4F7D"/>
    <w:rsid w:val="004C541B"/>
    <w:rsid w:val="004C6337"/>
    <w:rsid w:val="004C6A43"/>
    <w:rsid w:val="004C70E0"/>
    <w:rsid w:val="004C7311"/>
    <w:rsid w:val="004D062F"/>
    <w:rsid w:val="004D1755"/>
    <w:rsid w:val="004D24E8"/>
    <w:rsid w:val="004D2785"/>
    <w:rsid w:val="004D6872"/>
    <w:rsid w:val="004D72D2"/>
    <w:rsid w:val="004D7B4D"/>
    <w:rsid w:val="004E48D2"/>
    <w:rsid w:val="004E5C79"/>
    <w:rsid w:val="004E7FF4"/>
    <w:rsid w:val="004F003C"/>
    <w:rsid w:val="004F0928"/>
    <w:rsid w:val="004F0C39"/>
    <w:rsid w:val="004F1057"/>
    <w:rsid w:val="004F1709"/>
    <w:rsid w:val="004F24B1"/>
    <w:rsid w:val="004F39E1"/>
    <w:rsid w:val="004F3B25"/>
    <w:rsid w:val="004F3E33"/>
    <w:rsid w:val="004F3FFF"/>
    <w:rsid w:val="004F4350"/>
    <w:rsid w:val="004F460E"/>
    <w:rsid w:val="004F47F3"/>
    <w:rsid w:val="004F7607"/>
    <w:rsid w:val="00500D29"/>
    <w:rsid w:val="005016F6"/>
    <w:rsid w:val="00501F8E"/>
    <w:rsid w:val="0050230F"/>
    <w:rsid w:val="005027B0"/>
    <w:rsid w:val="00502DD2"/>
    <w:rsid w:val="00503F17"/>
    <w:rsid w:val="005045DA"/>
    <w:rsid w:val="00504665"/>
    <w:rsid w:val="005046BE"/>
    <w:rsid w:val="00505E10"/>
    <w:rsid w:val="00506171"/>
    <w:rsid w:val="0050623D"/>
    <w:rsid w:val="00506CF0"/>
    <w:rsid w:val="00506EF3"/>
    <w:rsid w:val="00507A6B"/>
    <w:rsid w:val="0051079F"/>
    <w:rsid w:val="0051090F"/>
    <w:rsid w:val="00510A73"/>
    <w:rsid w:val="00511525"/>
    <w:rsid w:val="00511E7E"/>
    <w:rsid w:val="00512194"/>
    <w:rsid w:val="00513302"/>
    <w:rsid w:val="0051548C"/>
    <w:rsid w:val="00515D73"/>
    <w:rsid w:val="00516062"/>
    <w:rsid w:val="00516E74"/>
    <w:rsid w:val="0051791A"/>
    <w:rsid w:val="005211E9"/>
    <w:rsid w:val="005214F5"/>
    <w:rsid w:val="00521639"/>
    <w:rsid w:val="00523335"/>
    <w:rsid w:val="0052456E"/>
    <w:rsid w:val="00524A31"/>
    <w:rsid w:val="00524ED3"/>
    <w:rsid w:val="005251BE"/>
    <w:rsid w:val="00526F17"/>
    <w:rsid w:val="005272D4"/>
    <w:rsid w:val="00527A0C"/>
    <w:rsid w:val="00527CBC"/>
    <w:rsid w:val="005309E2"/>
    <w:rsid w:val="00532488"/>
    <w:rsid w:val="00533C6D"/>
    <w:rsid w:val="00533D23"/>
    <w:rsid w:val="00536B8E"/>
    <w:rsid w:val="00537542"/>
    <w:rsid w:val="00540320"/>
    <w:rsid w:val="00541BB2"/>
    <w:rsid w:val="00545D0C"/>
    <w:rsid w:val="00546189"/>
    <w:rsid w:val="00546960"/>
    <w:rsid w:val="00547651"/>
    <w:rsid w:val="00550EE0"/>
    <w:rsid w:val="00552471"/>
    <w:rsid w:val="00553110"/>
    <w:rsid w:val="00553A4E"/>
    <w:rsid w:val="00555332"/>
    <w:rsid w:val="005554CC"/>
    <w:rsid w:val="005558B9"/>
    <w:rsid w:val="00556BFB"/>
    <w:rsid w:val="0056067C"/>
    <w:rsid w:val="005613D2"/>
    <w:rsid w:val="00562F37"/>
    <w:rsid w:val="00563263"/>
    <w:rsid w:val="00564189"/>
    <w:rsid w:val="00564D26"/>
    <w:rsid w:val="00564F84"/>
    <w:rsid w:val="00567B73"/>
    <w:rsid w:val="00567C96"/>
    <w:rsid w:val="00570BFC"/>
    <w:rsid w:val="00570FF1"/>
    <w:rsid w:val="005756D8"/>
    <w:rsid w:val="005764A9"/>
    <w:rsid w:val="005810B8"/>
    <w:rsid w:val="00581B6A"/>
    <w:rsid w:val="00584BD4"/>
    <w:rsid w:val="00585B96"/>
    <w:rsid w:val="00586034"/>
    <w:rsid w:val="00587DDD"/>
    <w:rsid w:val="005903F2"/>
    <w:rsid w:val="00591BB0"/>
    <w:rsid w:val="00591E4A"/>
    <w:rsid w:val="0059213C"/>
    <w:rsid w:val="0059348B"/>
    <w:rsid w:val="00595A27"/>
    <w:rsid w:val="00597234"/>
    <w:rsid w:val="005974B9"/>
    <w:rsid w:val="005A029A"/>
    <w:rsid w:val="005A089A"/>
    <w:rsid w:val="005A1572"/>
    <w:rsid w:val="005A475A"/>
    <w:rsid w:val="005A5BB3"/>
    <w:rsid w:val="005A606A"/>
    <w:rsid w:val="005A6DE3"/>
    <w:rsid w:val="005A7313"/>
    <w:rsid w:val="005B029F"/>
    <w:rsid w:val="005B075A"/>
    <w:rsid w:val="005B147F"/>
    <w:rsid w:val="005B18CF"/>
    <w:rsid w:val="005B2173"/>
    <w:rsid w:val="005B2FFC"/>
    <w:rsid w:val="005B3A1A"/>
    <w:rsid w:val="005B4035"/>
    <w:rsid w:val="005B564B"/>
    <w:rsid w:val="005C28D2"/>
    <w:rsid w:val="005C4302"/>
    <w:rsid w:val="005C48EF"/>
    <w:rsid w:val="005C4A1D"/>
    <w:rsid w:val="005C5D94"/>
    <w:rsid w:val="005C61A5"/>
    <w:rsid w:val="005C6DB3"/>
    <w:rsid w:val="005C7508"/>
    <w:rsid w:val="005C7997"/>
    <w:rsid w:val="005D07B5"/>
    <w:rsid w:val="005D0E9C"/>
    <w:rsid w:val="005D141A"/>
    <w:rsid w:val="005D372A"/>
    <w:rsid w:val="005D4B41"/>
    <w:rsid w:val="005D785A"/>
    <w:rsid w:val="005E0FFE"/>
    <w:rsid w:val="005E22EA"/>
    <w:rsid w:val="005E5214"/>
    <w:rsid w:val="005E574D"/>
    <w:rsid w:val="005E588C"/>
    <w:rsid w:val="005E60CB"/>
    <w:rsid w:val="005E6320"/>
    <w:rsid w:val="005F0A80"/>
    <w:rsid w:val="005F15E2"/>
    <w:rsid w:val="005F322E"/>
    <w:rsid w:val="005F3579"/>
    <w:rsid w:val="005F3C5A"/>
    <w:rsid w:val="005F3EC0"/>
    <w:rsid w:val="005F3F0D"/>
    <w:rsid w:val="005F4184"/>
    <w:rsid w:val="005F48B1"/>
    <w:rsid w:val="005F4909"/>
    <w:rsid w:val="005F4979"/>
    <w:rsid w:val="005F6828"/>
    <w:rsid w:val="005F6B39"/>
    <w:rsid w:val="00600625"/>
    <w:rsid w:val="00601D7F"/>
    <w:rsid w:val="00601E43"/>
    <w:rsid w:val="006037BE"/>
    <w:rsid w:val="00605026"/>
    <w:rsid w:val="006059A3"/>
    <w:rsid w:val="006076A2"/>
    <w:rsid w:val="00610F8C"/>
    <w:rsid w:val="0061154E"/>
    <w:rsid w:val="00612B5A"/>
    <w:rsid w:val="00615367"/>
    <w:rsid w:val="00617267"/>
    <w:rsid w:val="0062033D"/>
    <w:rsid w:val="006204E3"/>
    <w:rsid w:val="00621861"/>
    <w:rsid w:val="00621AA7"/>
    <w:rsid w:val="00621E7E"/>
    <w:rsid w:val="006226BD"/>
    <w:rsid w:val="00622861"/>
    <w:rsid w:val="00622A64"/>
    <w:rsid w:val="00622C75"/>
    <w:rsid w:val="00623FEC"/>
    <w:rsid w:val="0062412A"/>
    <w:rsid w:val="00625627"/>
    <w:rsid w:val="006257C1"/>
    <w:rsid w:val="00625B4F"/>
    <w:rsid w:val="00626CD0"/>
    <w:rsid w:val="00626E62"/>
    <w:rsid w:val="006278AC"/>
    <w:rsid w:val="00630157"/>
    <w:rsid w:val="00631D08"/>
    <w:rsid w:val="006334E9"/>
    <w:rsid w:val="006339CD"/>
    <w:rsid w:val="0063552B"/>
    <w:rsid w:val="00635710"/>
    <w:rsid w:val="0063672B"/>
    <w:rsid w:val="00637BE3"/>
    <w:rsid w:val="00641C32"/>
    <w:rsid w:val="006435A3"/>
    <w:rsid w:val="00643793"/>
    <w:rsid w:val="00643EEE"/>
    <w:rsid w:val="00647292"/>
    <w:rsid w:val="00647628"/>
    <w:rsid w:val="00647DC9"/>
    <w:rsid w:val="006500E1"/>
    <w:rsid w:val="0065043D"/>
    <w:rsid w:val="00650549"/>
    <w:rsid w:val="00650FE1"/>
    <w:rsid w:val="006513BD"/>
    <w:rsid w:val="00652E03"/>
    <w:rsid w:val="00653E38"/>
    <w:rsid w:val="00655D20"/>
    <w:rsid w:val="00657E78"/>
    <w:rsid w:val="00663D0F"/>
    <w:rsid w:val="006651E9"/>
    <w:rsid w:val="0066734B"/>
    <w:rsid w:val="00671AEB"/>
    <w:rsid w:val="00671F07"/>
    <w:rsid w:val="00672267"/>
    <w:rsid w:val="00675930"/>
    <w:rsid w:val="00676878"/>
    <w:rsid w:val="00681D47"/>
    <w:rsid w:val="006825E2"/>
    <w:rsid w:val="006842D5"/>
    <w:rsid w:val="00685927"/>
    <w:rsid w:val="00686E56"/>
    <w:rsid w:val="006911E0"/>
    <w:rsid w:val="00692974"/>
    <w:rsid w:val="0069320A"/>
    <w:rsid w:val="006935CF"/>
    <w:rsid w:val="00695450"/>
    <w:rsid w:val="00695FBD"/>
    <w:rsid w:val="00697503"/>
    <w:rsid w:val="006A1347"/>
    <w:rsid w:val="006A6B7D"/>
    <w:rsid w:val="006B1C1B"/>
    <w:rsid w:val="006B1EC4"/>
    <w:rsid w:val="006B2799"/>
    <w:rsid w:val="006B2DD2"/>
    <w:rsid w:val="006B356B"/>
    <w:rsid w:val="006B3C51"/>
    <w:rsid w:val="006B4230"/>
    <w:rsid w:val="006B54B0"/>
    <w:rsid w:val="006B609A"/>
    <w:rsid w:val="006B6680"/>
    <w:rsid w:val="006B777F"/>
    <w:rsid w:val="006C0AE1"/>
    <w:rsid w:val="006C152C"/>
    <w:rsid w:val="006C2B5A"/>
    <w:rsid w:val="006C38DB"/>
    <w:rsid w:val="006C706F"/>
    <w:rsid w:val="006D0675"/>
    <w:rsid w:val="006D0E4A"/>
    <w:rsid w:val="006D1826"/>
    <w:rsid w:val="006D2490"/>
    <w:rsid w:val="006D29B4"/>
    <w:rsid w:val="006D2A87"/>
    <w:rsid w:val="006D451C"/>
    <w:rsid w:val="006D68A6"/>
    <w:rsid w:val="006E028A"/>
    <w:rsid w:val="006E119E"/>
    <w:rsid w:val="006E3940"/>
    <w:rsid w:val="006E4A5E"/>
    <w:rsid w:val="006E693E"/>
    <w:rsid w:val="006E79CC"/>
    <w:rsid w:val="006F0300"/>
    <w:rsid w:val="006F2EC8"/>
    <w:rsid w:val="006F4028"/>
    <w:rsid w:val="006F46D4"/>
    <w:rsid w:val="006F4B38"/>
    <w:rsid w:val="006F5D00"/>
    <w:rsid w:val="006F7613"/>
    <w:rsid w:val="006F7E01"/>
    <w:rsid w:val="00700879"/>
    <w:rsid w:val="00700EDF"/>
    <w:rsid w:val="00701343"/>
    <w:rsid w:val="0070185F"/>
    <w:rsid w:val="00704EFF"/>
    <w:rsid w:val="007053BB"/>
    <w:rsid w:val="0070559E"/>
    <w:rsid w:val="00705BD2"/>
    <w:rsid w:val="00705CBF"/>
    <w:rsid w:val="00705E08"/>
    <w:rsid w:val="00706C02"/>
    <w:rsid w:val="00713D5E"/>
    <w:rsid w:val="00716943"/>
    <w:rsid w:val="00716E56"/>
    <w:rsid w:val="007174D2"/>
    <w:rsid w:val="007175C8"/>
    <w:rsid w:val="00721C09"/>
    <w:rsid w:val="00721CFE"/>
    <w:rsid w:val="0072259F"/>
    <w:rsid w:val="007226C9"/>
    <w:rsid w:val="00725455"/>
    <w:rsid w:val="00725A1F"/>
    <w:rsid w:val="00726334"/>
    <w:rsid w:val="007271F2"/>
    <w:rsid w:val="00727AA3"/>
    <w:rsid w:val="007325A6"/>
    <w:rsid w:val="00733E3F"/>
    <w:rsid w:val="00733E6F"/>
    <w:rsid w:val="0073558F"/>
    <w:rsid w:val="00743ABB"/>
    <w:rsid w:val="00743B9D"/>
    <w:rsid w:val="0074432C"/>
    <w:rsid w:val="007445BA"/>
    <w:rsid w:val="00747C92"/>
    <w:rsid w:val="0075251D"/>
    <w:rsid w:val="0075434E"/>
    <w:rsid w:val="007559AD"/>
    <w:rsid w:val="00757758"/>
    <w:rsid w:val="0075786C"/>
    <w:rsid w:val="00760B21"/>
    <w:rsid w:val="00760B7D"/>
    <w:rsid w:val="00762957"/>
    <w:rsid w:val="00764278"/>
    <w:rsid w:val="00764DE5"/>
    <w:rsid w:val="007668A2"/>
    <w:rsid w:val="00767852"/>
    <w:rsid w:val="00771EC7"/>
    <w:rsid w:val="00775818"/>
    <w:rsid w:val="0077581C"/>
    <w:rsid w:val="0077728B"/>
    <w:rsid w:val="00781021"/>
    <w:rsid w:val="0078112E"/>
    <w:rsid w:val="00784840"/>
    <w:rsid w:val="00785E60"/>
    <w:rsid w:val="00786173"/>
    <w:rsid w:val="00787A3D"/>
    <w:rsid w:val="0079108D"/>
    <w:rsid w:val="00791384"/>
    <w:rsid w:val="00792E4F"/>
    <w:rsid w:val="007A2210"/>
    <w:rsid w:val="007A2E39"/>
    <w:rsid w:val="007A3DED"/>
    <w:rsid w:val="007A49B8"/>
    <w:rsid w:val="007A599D"/>
    <w:rsid w:val="007B0BE2"/>
    <w:rsid w:val="007B21CA"/>
    <w:rsid w:val="007B23C6"/>
    <w:rsid w:val="007B2963"/>
    <w:rsid w:val="007B4DCE"/>
    <w:rsid w:val="007B5123"/>
    <w:rsid w:val="007B71B5"/>
    <w:rsid w:val="007B7B85"/>
    <w:rsid w:val="007C208F"/>
    <w:rsid w:val="007C2754"/>
    <w:rsid w:val="007C282C"/>
    <w:rsid w:val="007C3705"/>
    <w:rsid w:val="007C37B3"/>
    <w:rsid w:val="007C5850"/>
    <w:rsid w:val="007C6C3D"/>
    <w:rsid w:val="007C704B"/>
    <w:rsid w:val="007D0BC3"/>
    <w:rsid w:val="007D39D4"/>
    <w:rsid w:val="007D3BB1"/>
    <w:rsid w:val="007D3DC2"/>
    <w:rsid w:val="007D5055"/>
    <w:rsid w:val="007D7D84"/>
    <w:rsid w:val="007D7E50"/>
    <w:rsid w:val="007E0063"/>
    <w:rsid w:val="007E110D"/>
    <w:rsid w:val="007E1E51"/>
    <w:rsid w:val="007E2699"/>
    <w:rsid w:val="007E2B86"/>
    <w:rsid w:val="007E38E5"/>
    <w:rsid w:val="007E3907"/>
    <w:rsid w:val="007E3E36"/>
    <w:rsid w:val="007E427C"/>
    <w:rsid w:val="007E4C9A"/>
    <w:rsid w:val="007E4CD3"/>
    <w:rsid w:val="007E71F9"/>
    <w:rsid w:val="007E7F78"/>
    <w:rsid w:val="007F0A98"/>
    <w:rsid w:val="007F222D"/>
    <w:rsid w:val="007F3321"/>
    <w:rsid w:val="007F340D"/>
    <w:rsid w:val="007F4FB9"/>
    <w:rsid w:val="007F593F"/>
    <w:rsid w:val="007F65FF"/>
    <w:rsid w:val="00801706"/>
    <w:rsid w:val="0080361A"/>
    <w:rsid w:val="0080399F"/>
    <w:rsid w:val="00803A6F"/>
    <w:rsid w:val="008041E7"/>
    <w:rsid w:val="0080449E"/>
    <w:rsid w:val="0080466F"/>
    <w:rsid w:val="0080501F"/>
    <w:rsid w:val="0080549E"/>
    <w:rsid w:val="00806892"/>
    <w:rsid w:val="00810889"/>
    <w:rsid w:val="008110CD"/>
    <w:rsid w:val="00814CDC"/>
    <w:rsid w:val="00817067"/>
    <w:rsid w:val="00822322"/>
    <w:rsid w:val="00822B0F"/>
    <w:rsid w:val="00823AB3"/>
    <w:rsid w:val="00826B70"/>
    <w:rsid w:val="00826FD8"/>
    <w:rsid w:val="0082714B"/>
    <w:rsid w:val="00830034"/>
    <w:rsid w:val="008306D5"/>
    <w:rsid w:val="00833294"/>
    <w:rsid w:val="00834045"/>
    <w:rsid w:val="00834695"/>
    <w:rsid w:val="008356F1"/>
    <w:rsid w:val="00835A93"/>
    <w:rsid w:val="00835F4D"/>
    <w:rsid w:val="0083640E"/>
    <w:rsid w:val="0083665E"/>
    <w:rsid w:val="00841270"/>
    <w:rsid w:val="00844A68"/>
    <w:rsid w:val="00845329"/>
    <w:rsid w:val="0084645C"/>
    <w:rsid w:val="00847CB2"/>
    <w:rsid w:val="008506BE"/>
    <w:rsid w:val="008507A2"/>
    <w:rsid w:val="00850FAB"/>
    <w:rsid w:val="00851EA5"/>
    <w:rsid w:val="008544F7"/>
    <w:rsid w:val="00855094"/>
    <w:rsid w:val="00855643"/>
    <w:rsid w:val="0085578E"/>
    <w:rsid w:val="00856ADD"/>
    <w:rsid w:val="00860094"/>
    <w:rsid w:val="00861173"/>
    <w:rsid w:val="00864D05"/>
    <w:rsid w:val="00865923"/>
    <w:rsid w:val="0086598F"/>
    <w:rsid w:val="00867915"/>
    <w:rsid w:val="008679D7"/>
    <w:rsid w:val="0087045D"/>
    <w:rsid w:val="00871F74"/>
    <w:rsid w:val="0087232F"/>
    <w:rsid w:val="00872E0D"/>
    <w:rsid w:val="008757B1"/>
    <w:rsid w:val="00881BEA"/>
    <w:rsid w:val="00881F82"/>
    <w:rsid w:val="008852FD"/>
    <w:rsid w:val="00885867"/>
    <w:rsid w:val="00886003"/>
    <w:rsid w:val="00886A41"/>
    <w:rsid w:val="008874EF"/>
    <w:rsid w:val="008878B3"/>
    <w:rsid w:val="00887F84"/>
    <w:rsid w:val="008904C8"/>
    <w:rsid w:val="00892811"/>
    <w:rsid w:val="008929DF"/>
    <w:rsid w:val="00892FEE"/>
    <w:rsid w:val="00895DBB"/>
    <w:rsid w:val="00897843"/>
    <w:rsid w:val="008A0832"/>
    <w:rsid w:val="008A30BB"/>
    <w:rsid w:val="008A5418"/>
    <w:rsid w:val="008A599C"/>
    <w:rsid w:val="008A6DDD"/>
    <w:rsid w:val="008A7011"/>
    <w:rsid w:val="008B19FC"/>
    <w:rsid w:val="008B7C57"/>
    <w:rsid w:val="008B7D62"/>
    <w:rsid w:val="008C0740"/>
    <w:rsid w:val="008C1184"/>
    <w:rsid w:val="008C1657"/>
    <w:rsid w:val="008C1EBB"/>
    <w:rsid w:val="008C252D"/>
    <w:rsid w:val="008C3F38"/>
    <w:rsid w:val="008C5405"/>
    <w:rsid w:val="008C74A2"/>
    <w:rsid w:val="008C74D7"/>
    <w:rsid w:val="008C76C3"/>
    <w:rsid w:val="008D1296"/>
    <w:rsid w:val="008D3864"/>
    <w:rsid w:val="008D4D02"/>
    <w:rsid w:val="008D4F76"/>
    <w:rsid w:val="008D5694"/>
    <w:rsid w:val="008E1B84"/>
    <w:rsid w:val="008E1F95"/>
    <w:rsid w:val="008E4021"/>
    <w:rsid w:val="008E47B1"/>
    <w:rsid w:val="008E4A8D"/>
    <w:rsid w:val="008F09F1"/>
    <w:rsid w:val="008F19CA"/>
    <w:rsid w:val="008F2F71"/>
    <w:rsid w:val="008F417F"/>
    <w:rsid w:val="009012FA"/>
    <w:rsid w:val="00902CCC"/>
    <w:rsid w:val="0090347C"/>
    <w:rsid w:val="00906BB1"/>
    <w:rsid w:val="00910342"/>
    <w:rsid w:val="00911778"/>
    <w:rsid w:val="00911B25"/>
    <w:rsid w:val="00912524"/>
    <w:rsid w:val="00912C7B"/>
    <w:rsid w:val="00913037"/>
    <w:rsid w:val="00913358"/>
    <w:rsid w:val="00915E70"/>
    <w:rsid w:val="00916752"/>
    <w:rsid w:val="0091750B"/>
    <w:rsid w:val="009206C6"/>
    <w:rsid w:val="00920A27"/>
    <w:rsid w:val="009214CE"/>
    <w:rsid w:val="009252EF"/>
    <w:rsid w:val="0093112F"/>
    <w:rsid w:val="00931571"/>
    <w:rsid w:val="00931967"/>
    <w:rsid w:val="00933501"/>
    <w:rsid w:val="009345F7"/>
    <w:rsid w:val="00935D48"/>
    <w:rsid w:val="00937B32"/>
    <w:rsid w:val="009459B5"/>
    <w:rsid w:val="00947E76"/>
    <w:rsid w:val="009515E5"/>
    <w:rsid w:val="0095353C"/>
    <w:rsid w:val="009541C6"/>
    <w:rsid w:val="00954574"/>
    <w:rsid w:val="009549E1"/>
    <w:rsid w:val="0096012D"/>
    <w:rsid w:val="0096095B"/>
    <w:rsid w:val="009629D6"/>
    <w:rsid w:val="00963AD2"/>
    <w:rsid w:val="009642FC"/>
    <w:rsid w:val="0096484A"/>
    <w:rsid w:val="00964B44"/>
    <w:rsid w:val="00964EFD"/>
    <w:rsid w:val="0096753C"/>
    <w:rsid w:val="00967A63"/>
    <w:rsid w:val="00970C26"/>
    <w:rsid w:val="0097270C"/>
    <w:rsid w:val="00973E2A"/>
    <w:rsid w:val="009763CF"/>
    <w:rsid w:val="00977777"/>
    <w:rsid w:val="00980FA7"/>
    <w:rsid w:val="00981472"/>
    <w:rsid w:val="00981708"/>
    <w:rsid w:val="009824F1"/>
    <w:rsid w:val="009837BD"/>
    <w:rsid w:val="00986A84"/>
    <w:rsid w:val="00987AD2"/>
    <w:rsid w:val="00990398"/>
    <w:rsid w:val="0099085A"/>
    <w:rsid w:val="009925A0"/>
    <w:rsid w:val="00994C20"/>
    <w:rsid w:val="009A109F"/>
    <w:rsid w:val="009A14C9"/>
    <w:rsid w:val="009A2153"/>
    <w:rsid w:val="009A274B"/>
    <w:rsid w:val="009A5B63"/>
    <w:rsid w:val="009A5E81"/>
    <w:rsid w:val="009A5FDD"/>
    <w:rsid w:val="009A70AA"/>
    <w:rsid w:val="009A71F2"/>
    <w:rsid w:val="009A74E5"/>
    <w:rsid w:val="009A7843"/>
    <w:rsid w:val="009B0629"/>
    <w:rsid w:val="009B0A62"/>
    <w:rsid w:val="009B167E"/>
    <w:rsid w:val="009B2C22"/>
    <w:rsid w:val="009B46FC"/>
    <w:rsid w:val="009B51C6"/>
    <w:rsid w:val="009B5F7E"/>
    <w:rsid w:val="009B72C3"/>
    <w:rsid w:val="009C1ABE"/>
    <w:rsid w:val="009C2EA9"/>
    <w:rsid w:val="009C30B9"/>
    <w:rsid w:val="009C34A5"/>
    <w:rsid w:val="009C3741"/>
    <w:rsid w:val="009C46C2"/>
    <w:rsid w:val="009C492D"/>
    <w:rsid w:val="009C5979"/>
    <w:rsid w:val="009C72D4"/>
    <w:rsid w:val="009C7693"/>
    <w:rsid w:val="009D1517"/>
    <w:rsid w:val="009D1A1C"/>
    <w:rsid w:val="009D2985"/>
    <w:rsid w:val="009D2DA4"/>
    <w:rsid w:val="009D33FE"/>
    <w:rsid w:val="009D4900"/>
    <w:rsid w:val="009D62C5"/>
    <w:rsid w:val="009E1E38"/>
    <w:rsid w:val="009E327D"/>
    <w:rsid w:val="009E4CB7"/>
    <w:rsid w:val="009E530C"/>
    <w:rsid w:val="009E53CA"/>
    <w:rsid w:val="009E5AF6"/>
    <w:rsid w:val="009E60B1"/>
    <w:rsid w:val="009E68D3"/>
    <w:rsid w:val="009E6ADC"/>
    <w:rsid w:val="009E7A3C"/>
    <w:rsid w:val="009F0136"/>
    <w:rsid w:val="009F1BDE"/>
    <w:rsid w:val="009F4349"/>
    <w:rsid w:val="009F443B"/>
    <w:rsid w:val="009F4DEF"/>
    <w:rsid w:val="009F642F"/>
    <w:rsid w:val="009F683D"/>
    <w:rsid w:val="009F6BDC"/>
    <w:rsid w:val="00A001C0"/>
    <w:rsid w:val="00A00311"/>
    <w:rsid w:val="00A0084F"/>
    <w:rsid w:val="00A02097"/>
    <w:rsid w:val="00A02534"/>
    <w:rsid w:val="00A02699"/>
    <w:rsid w:val="00A03BC9"/>
    <w:rsid w:val="00A0466A"/>
    <w:rsid w:val="00A05728"/>
    <w:rsid w:val="00A05A3F"/>
    <w:rsid w:val="00A07CE8"/>
    <w:rsid w:val="00A07CF0"/>
    <w:rsid w:val="00A1005A"/>
    <w:rsid w:val="00A109C7"/>
    <w:rsid w:val="00A136C1"/>
    <w:rsid w:val="00A15290"/>
    <w:rsid w:val="00A238D4"/>
    <w:rsid w:val="00A2453C"/>
    <w:rsid w:val="00A24B18"/>
    <w:rsid w:val="00A25E97"/>
    <w:rsid w:val="00A30005"/>
    <w:rsid w:val="00A309C8"/>
    <w:rsid w:val="00A31B03"/>
    <w:rsid w:val="00A332C3"/>
    <w:rsid w:val="00A34229"/>
    <w:rsid w:val="00A3429F"/>
    <w:rsid w:val="00A379F6"/>
    <w:rsid w:val="00A414D9"/>
    <w:rsid w:val="00A41E2E"/>
    <w:rsid w:val="00A438FD"/>
    <w:rsid w:val="00A43E68"/>
    <w:rsid w:val="00A44AF4"/>
    <w:rsid w:val="00A45566"/>
    <w:rsid w:val="00A50086"/>
    <w:rsid w:val="00A51EBE"/>
    <w:rsid w:val="00A52B0E"/>
    <w:rsid w:val="00A535DB"/>
    <w:rsid w:val="00A54F7B"/>
    <w:rsid w:val="00A579CA"/>
    <w:rsid w:val="00A6091D"/>
    <w:rsid w:val="00A609C3"/>
    <w:rsid w:val="00A61139"/>
    <w:rsid w:val="00A61C23"/>
    <w:rsid w:val="00A65260"/>
    <w:rsid w:val="00A65E69"/>
    <w:rsid w:val="00A70781"/>
    <w:rsid w:val="00A70B46"/>
    <w:rsid w:val="00A70C31"/>
    <w:rsid w:val="00A73491"/>
    <w:rsid w:val="00A73B67"/>
    <w:rsid w:val="00A7424C"/>
    <w:rsid w:val="00A754C1"/>
    <w:rsid w:val="00A76D53"/>
    <w:rsid w:val="00A77CC2"/>
    <w:rsid w:val="00A805AE"/>
    <w:rsid w:val="00A81EF2"/>
    <w:rsid w:val="00A82FEB"/>
    <w:rsid w:val="00A835B5"/>
    <w:rsid w:val="00A83D27"/>
    <w:rsid w:val="00A87CEF"/>
    <w:rsid w:val="00A87E49"/>
    <w:rsid w:val="00A902DA"/>
    <w:rsid w:val="00A91331"/>
    <w:rsid w:val="00A92CDA"/>
    <w:rsid w:val="00A939C7"/>
    <w:rsid w:val="00A95E90"/>
    <w:rsid w:val="00A96FFA"/>
    <w:rsid w:val="00AA06A1"/>
    <w:rsid w:val="00AA389B"/>
    <w:rsid w:val="00AA3CEC"/>
    <w:rsid w:val="00AA75CF"/>
    <w:rsid w:val="00AB1C80"/>
    <w:rsid w:val="00AB21AF"/>
    <w:rsid w:val="00AB5E33"/>
    <w:rsid w:val="00AB70F5"/>
    <w:rsid w:val="00AB7813"/>
    <w:rsid w:val="00AB78A8"/>
    <w:rsid w:val="00AC0061"/>
    <w:rsid w:val="00AC0332"/>
    <w:rsid w:val="00AC23CE"/>
    <w:rsid w:val="00AC2968"/>
    <w:rsid w:val="00AC31D1"/>
    <w:rsid w:val="00AC4AB0"/>
    <w:rsid w:val="00AC4C3E"/>
    <w:rsid w:val="00AC5493"/>
    <w:rsid w:val="00AD03C6"/>
    <w:rsid w:val="00AD042F"/>
    <w:rsid w:val="00AD4288"/>
    <w:rsid w:val="00AD6F4B"/>
    <w:rsid w:val="00AE141D"/>
    <w:rsid w:val="00AE15A6"/>
    <w:rsid w:val="00AE160F"/>
    <w:rsid w:val="00AE42A7"/>
    <w:rsid w:val="00AE553A"/>
    <w:rsid w:val="00AE7970"/>
    <w:rsid w:val="00AF0F0B"/>
    <w:rsid w:val="00AF14B9"/>
    <w:rsid w:val="00AF5340"/>
    <w:rsid w:val="00AF5B14"/>
    <w:rsid w:val="00AF6B8E"/>
    <w:rsid w:val="00AF7942"/>
    <w:rsid w:val="00B00BD9"/>
    <w:rsid w:val="00B016D9"/>
    <w:rsid w:val="00B01E90"/>
    <w:rsid w:val="00B022D9"/>
    <w:rsid w:val="00B036D3"/>
    <w:rsid w:val="00B041DE"/>
    <w:rsid w:val="00B048BC"/>
    <w:rsid w:val="00B064B2"/>
    <w:rsid w:val="00B06D98"/>
    <w:rsid w:val="00B105E9"/>
    <w:rsid w:val="00B107B6"/>
    <w:rsid w:val="00B12269"/>
    <w:rsid w:val="00B153FC"/>
    <w:rsid w:val="00B15B53"/>
    <w:rsid w:val="00B20087"/>
    <w:rsid w:val="00B2249D"/>
    <w:rsid w:val="00B23314"/>
    <w:rsid w:val="00B233CB"/>
    <w:rsid w:val="00B25247"/>
    <w:rsid w:val="00B25259"/>
    <w:rsid w:val="00B253A5"/>
    <w:rsid w:val="00B25760"/>
    <w:rsid w:val="00B26A3B"/>
    <w:rsid w:val="00B27641"/>
    <w:rsid w:val="00B30498"/>
    <w:rsid w:val="00B358B6"/>
    <w:rsid w:val="00B35964"/>
    <w:rsid w:val="00B371E8"/>
    <w:rsid w:val="00B37933"/>
    <w:rsid w:val="00B40B6A"/>
    <w:rsid w:val="00B412DB"/>
    <w:rsid w:val="00B42E42"/>
    <w:rsid w:val="00B46154"/>
    <w:rsid w:val="00B46D97"/>
    <w:rsid w:val="00B51040"/>
    <w:rsid w:val="00B5247C"/>
    <w:rsid w:val="00B568B0"/>
    <w:rsid w:val="00B60F48"/>
    <w:rsid w:val="00B6475F"/>
    <w:rsid w:val="00B652B9"/>
    <w:rsid w:val="00B67A4D"/>
    <w:rsid w:val="00B706DA"/>
    <w:rsid w:val="00B737BC"/>
    <w:rsid w:val="00B73F66"/>
    <w:rsid w:val="00B74660"/>
    <w:rsid w:val="00B75440"/>
    <w:rsid w:val="00B77769"/>
    <w:rsid w:val="00B77F90"/>
    <w:rsid w:val="00B80505"/>
    <w:rsid w:val="00B80CF9"/>
    <w:rsid w:val="00B81CF9"/>
    <w:rsid w:val="00B82E10"/>
    <w:rsid w:val="00B83907"/>
    <w:rsid w:val="00B8455E"/>
    <w:rsid w:val="00B8609F"/>
    <w:rsid w:val="00B8624E"/>
    <w:rsid w:val="00B870CC"/>
    <w:rsid w:val="00B92ACC"/>
    <w:rsid w:val="00B9342F"/>
    <w:rsid w:val="00B94DED"/>
    <w:rsid w:val="00B95351"/>
    <w:rsid w:val="00B956BC"/>
    <w:rsid w:val="00B95A1A"/>
    <w:rsid w:val="00B9617D"/>
    <w:rsid w:val="00B96CC3"/>
    <w:rsid w:val="00BA24FF"/>
    <w:rsid w:val="00BA2762"/>
    <w:rsid w:val="00BA3715"/>
    <w:rsid w:val="00BA38BA"/>
    <w:rsid w:val="00BA3BAC"/>
    <w:rsid w:val="00BA462A"/>
    <w:rsid w:val="00BA57CB"/>
    <w:rsid w:val="00BA72E3"/>
    <w:rsid w:val="00BB1AD0"/>
    <w:rsid w:val="00BB2B38"/>
    <w:rsid w:val="00BB3566"/>
    <w:rsid w:val="00BB3966"/>
    <w:rsid w:val="00BB59AD"/>
    <w:rsid w:val="00BB5B0D"/>
    <w:rsid w:val="00BC02C0"/>
    <w:rsid w:val="00BC04A2"/>
    <w:rsid w:val="00BC0798"/>
    <w:rsid w:val="00BC0FAE"/>
    <w:rsid w:val="00BC137F"/>
    <w:rsid w:val="00BC33D3"/>
    <w:rsid w:val="00BC4212"/>
    <w:rsid w:val="00BC4549"/>
    <w:rsid w:val="00BC6025"/>
    <w:rsid w:val="00BC7A94"/>
    <w:rsid w:val="00BC7AA7"/>
    <w:rsid w:val="00BC7B61"/>
    <w:rsid w:val="00BD2B5C"/>
    <w:rsid w:val="00BD2C30"/>
    <w:rsid w:val="00BD3060"/>
    <w:rsid w:val="00BD41B9"/>
    <w:rsid w:val="00BD42F6"/>
    <w:rsid w:val="00BE0A02"/>
    <w:rsid w:val="00BE12C3"/>
    <w:rsid w:val="00BE14FA"/>
    <w:rsid w:val="00BE1A41"/>
    <w:rsid w:val="00BE47FF"/>
    <w:rsid w:val="00BE4BB2"/>
    <w:rsid w:val="00BE5496"/>
    <w:rsid w:val="00BE7467"/>
    <w:rsid w:val="00BE76F7"/>
    <w:rsid w:val="00BE7DE1"/>
    <w:rsid w:val="00BF0255"/>
    <w:rsid w:val="00BF0C20"/>
    <w:rsid w:val="00BF1786"/>
    <w:rsid w:val="00BF228D"/>
    <w:rsid w:val="00BF24D4"/>
    <w:rsid w:val="00BF382E"/>
    <w:rsid w:val="00BF3A6B"/>
    <w:rsid w:val="00BF3ACA"/>
    <w:rsid w:val="00BF42C0"/>
    <w:rsid w:val="00BF4A1A"/>
    <w:rsid w:val="00BF561C"/>
    <w:rsid w:val="00BF7B02"/>
    <w:rsid w:val="00C03E35"/>
    <w:rsid w:val="00C06240"/>
    <w:rsid w:val="00C10B9A"/>
    <w:rsid w:val="00C1135B"/>
    <w:rsid w:val="00C1195E"/>
    <w:rsid w:val="00C128E8"/>
    <w:rsid w:val="00C151F4"/>
    <w:rsid w:val="00C160AA"/>
    <w:rsid w:val="00C161DD"/>
    <w:rsid w:val="00C21E13"/>
    <w:rsid w:val="00C223FC"/>
    <w:rsid w:val="00C232B9"/>
    <w:rsid w:val="00C241C9"/>
    <w:rsid w:val="00C25FAA"/>
    <w:rsid w:val="00C25FB5"/>
    <w:rsid w:val="00C27183"/>
    <w:rsid w:val="00C33A5D"/>
    <w:rsid w:val="00C33B0D"/>
    <w:rsid w:val="00C35D93"/>
    <w:rsid w:val="00C37BAB"/>
    <w:rsid w:val="00C40F39"/>
    <w:rsid w:val="00C440B7"/>
    <w:rsid w:val="00C4498B"/>
    <w:rsid w:val="00C45653"/>
    <w:rsid w:val="00C515EA"/>
    <w:rsid w:val="00C5178D"/>
    <w:rsid w:val="00C52AE9"/>
    <w:rsid w:val="00C533EE"/>
    <w:rsid w:val="00C54EDE"/>
    <w:rsid w:val="00C5619C"/>
    <w:rsid w:val="00C56F68"/>
    <w:rsid w:val="00C61664"/>
    <w:rsid w:val="00C61FC8"/>
    <w:rsid w:val="00C62CCF"/>
    <w:rsid w:val="00C62D9E"/>
    <w:rsid w:val="00C63628"/>
    <w:rsid w:val="00C63DA8"/>
    <w:rsid w:val="00C65A8B"/>
    <w:rsid w:val="00C71D7D"/>
    <w:rsid w:val="00C7568B"/>
    <w:rsid w:val="00C80CA7"/>
    <w:rsid w:val="00C810C5"/>
    <w:rsid w:val="00C8214E"/>
    <w:rsid w:val="00C84826"/>
    <w:rsid w:val="00C84906"/>
    <w:rsid w:val="00C90720"/>
    <w:rsid w:val="00C90E1E"/>
    <w:rsid w:val="00C94656"/>
    <w:rsid w:val="00C95FBD"/>
    <w:rsid w:val="00C96331"/>
    <w:rsid w:val="00C982B4"/>
    <w:rsid w:val="00CA055F"/>
    <w:rsid w:val="00CA2E1B"/>
    <w:rsid w:val="00CA3FC3"/>
    <w:rsid w:val="00CA440D"/>
    <w:rsid w:val="00CA446C"/>
    <w:rsid w:val="00CB09EE"/>
    <w:rsid w:val="00CB110F"/>
    <w:rsid w:val="00CB20FE"/>
    <w:rsid w:val="00CB2D8C"/>
    <w:rsid w:val="00CB323A"/>
    <w:rsid w:val="00CB5996"/>
    <w:rsid w:val="00CB5ED2"/>
    <w:rsid w:val="00CB7264"/>
    <w:rsid w:val="00CC101E"/>
    <w:rsid w:val="00CC1D83"/>
    <w:rsid w:val="00CC27E2"/>
    <w:rsid w:val="00CC2AEF"/>
    <w:rsid w:val="00CC30E4"/>
    <w:rsid w:val="00CC47B0"/>
    <w:rsid w:val="00CC4861"/>
    <w:rsid w:val="00CC4FE2"/>
    <w:rsid w:val="00CC6748"/>
    <w:rsid w:val="00CC7117"/>
    <w:rsid w:val="00CD1561"/>
    <w:rsid w:val="00CD1566"/>
    <w:rsid w:val="00CD238B"/>
    <w:rsid w:val="00CD3862"/>
    <w:rsid w:val="00CD39A3"/>
    <w:rsid w:val="00CD656F"/>
    <w:rsid w:val="00CD6C45"/>
    <w:rsid w:val="00CD71C6"/>
    <w:rsid w:val="00CE0B65"/>
    <w:rsid w:val="00CE113A"/>
    <w:rsid w:val="00CE14E9"/>
    <w:rsid w:val="00CE45A7"/>
    <w:rsid w:val="00CE4778"/>
    <w:rsid w:val="00CE4CA2"/>
    <w:rsid w:val="00CE58F5"/>
    <w:rsid w:val="00CE6878"/>
    <w:rsid w:val="00CF2B6D"/>
    <w:rsid w:val="00CF3A17"/>
    <w:rsid w:val="00CF3A1E"/>
    <w:rsid w:val="00CF498A"/>
    <w:rsid w:val="00CF4E14"/>
    <w:rsid w:val="00CF621F"/>
    <w:rsid w:val="00CF72B6"/>
    <w:rsid w:val="00CF7ADA"/>
    <w:rsid w:val="00D00978"/>
    <w:rsid w:val="00D02294"/>
    <w:rsid w:val="00D0278C"/>
    <w:rsid w:val="00D02BFB"/>
    <w:rsid w:val="00D034C4"/>
    <w:rsid w:val="00D045F1"/>
    <w:rsid w:val="00D0588B"/>
    <w:rsid w:val="00D06055"/>
    <w:rsid w:val="00D06B50"/>
    <w:rsid w:val="00D104B1"/>
    <w:rsid w:val="00D107D0"/>
    <w:rsid w:val="00D10A1F"/>
    <w:rsid w:val="00D123CF"/>
    <w:rsid w:val="00D1504D"/>
    <w:rsid w:val="00D15B4F"/>
    <w:rsid w:val="00D15BD7"/>
    <w:rsid w:val="00D20C7B"/>
    <w:rsid w:val="00D20E85"/>
    <w:rsid w:val="00D22A58"/>
    <w:rsid w:val="00D23F8F"/>
    <w:rsid w:val="00D240A7"/>
    <w:rsid w:val="00D241E4"/>
    <w:rsid w:val="00D26272"/>
    <w:rsid w:val="00D2664F"/>
    <w:rsid w:val="00D27864"/>
    <w:rsid w:val="00D30D4E"/>
    <w:rsid w:val="00D3128E"/>
    <w:rsid w:val="00D3224A"/>
    <w:rsid w:val="00D354AF"/>
    <w:rsid w:val="00D35A0E"/>
    <w:rsid w:val="00D35E64"/>
    <w:rsid w:val="00D37D2A"/>
    <w:rsid w:val="00D41115"/>
    <w:rsid w:val="00D41EF1"/>
    <w:rsid w:val="00D42DD8"/>
    <w:rsid w:val="00D43B89"/>
    <w:rsid w:val="00D4527B"/>
    <w:rsid w:val="00D46D0D"/>
    <w:rsid w:val="00D4704C"/>
    <w:rsid w:val="00D47B9D"/>
    <w:rsid w:val="00D50413"/>
    <w:rsid w:val="00D50E19"/>
    <w:rsid w:val="00D5109C"/>
    <w:rsid w:val="00D52905"/>
    <w:rsid w:val="00D52D18"/>
    <w:rsid w:val="00D53749"/>
    <w:rsid w:val="00D54952"/>
    <w:rsid w:val="00D5562F"/>
    <w:rsid w:val="00D5632F"/>
    <w:rsid w:val="00D60F28"/>
    <w:rsid w:val="00D62312"/>
    <w:rsid w:val="00D623F5"/>
    <w:rsid w:val="00D62497"/>
    <w:rsid w:val="00D624B1"/>
    <w:rsid w:val="00D628F8"/>
    <w:rsid w:val="00D65400"/>
    <w:rsid w:val="00D65A4A"/>
    <w:rsid w:val="00D7014A"/>
    <w:rsid w:val="00D72844"/>
    <w:rsid w:val="00D745C1"/>
    <w:rsid w:val="00D74A64"/>
    <w:rsid w:val="00D75844"/>
    <w:rsid w:val="00D75CD5"/>
    <w:rsid w:val="00D80BFA"/>
    <w:rsid w:val="00D81C3A"/>
    <w:rsid w:val="00D81CAA"/>
    <w:rsid w:val="00D82187"/>
    <w:rsid w:val="00D858F0"/>
    <w:rsid w:val="00D85909"/>
    <w:rsid w:val="00D8673E"/>
    <w:rsid w:val="00D92504"/>
    <w:rsid w:val="00D925BC"/>
    <w:rsid w:val="00D927E8"/>
    <w:rsid w:val="00D9287A"/>
    <w:rsid w:val="00D94686"/>
    <w:rsid w:val="00D96919"/>
    <w:rsid w:val="00DA3141"/>
    <w:rsid w:val="00DA353C"/>
    <w:rsid w:val="00DA5408"/>
    <w:rsid w:val="00DA5CDF"/>
    <w:rsid w:val="00DA6410"/>
    <w:rsid w:val="00DA66D5"/>
    <w:rsid w:val="00DB0061"/>
    <w:rsid w:val="00DB02F9"/>
    <w:rsid w:val="00DB057E"/>
    <w:rsid w:val="00DB18DE"/>
    <w:rsid w:val="00DB1C84"/>
    <w:rsid w:val="00DB1D14"/>
    <w:rsid w:val="00DB268C"/>
    <w:rsid w:val="00DB5021"/>
    <w:rsid w:val="00DB5403"/>
    <w:rsid w:val="00DB5E42"/>
    <w:rsid w:val="00DB686C"/>
    <w:rsid w:val="00DB713A"/>
    <w:rsid w:val="00DC1D36"/>
    <w:rsid w:val="00DC2A5D"/>
    <w:rsid w:val="00DC3F61"/>
    <w:rsid w:val="00DC3F90"/>
    <w:rsid w:val="00DC401B"/>
    <w:rsid w:val="00DC4509"/>
    <w:rsid w:val="00DC57BA"/>
    <w:rsid w:val="00DC5C31"/>
    <w:rsid w:val="00DC75A6"/>
    <w:rsid w:val="00DD1A7A"/>
    <w:rsid w:val="00DD56E7"/>
    <w:rsid w:val="00DE3334"/>
    <w:rsid w:val="00DE4E38"/>
    <w:rsid w:val="00DE6F25"/>
    <w:rsid w:val="00DF344E"/>
    <w:rsid w:val="00DF54C3"/>
    <w:rsid w:val="00DF6485"/>
    <w:rsid w:val="00DF7197"/>
    <w:rsid w:val="00DF7319"/>
    <w:rsid w:val="00E01A79"/>
    <w:rsid w:val="00E02BFD"/>
    <w:rsid w:val="00E03007"/>
    <w:rsid w:val="00E0398C"/>
    <w:rsid w:val="00E04CAE"/>
    <w:rsid w:val="00E04EC1"/>
    <w:rsid w:val="00E06D2E"/>
    <w:rsid w:val="00E0791F"/>
    <w:rsid w:val="00E111FB"/>
    <w:rsid w:val="00E13625"/>
    <w:rsid w:val="00E14BF0"/>
    <w:rsid w:val="00E1538B"/>
    <w:rsid w:val="00E1603E"/>
    <w:rsid w:val="00E16877"/>
    <w:rsid w:val="00E16940"/>
    <w:rsid w:val="00E22DF0"/>
    <w:rsid w:val="00E25CBE"/>
    <w:rsid w:val="00E26B11"/>
    <w:rsid w:val="00E355BB"/>
    <w:rsid w:val="00E36A49"/>
    <w:rsid w:val="00E3711D"/>
    <w:rsid w:val="00E416F8"/>
    <w:rsid w:val="00E418D0"/>
    <w:rsid w:val="00E42319"/>
    <w:rsid w:val="00E44398"/>
    <w:rsid w:val="00E444B6"/>
    <w:rsid w:val="00E449F3"/>
    <w:rsid w:val="00E44BD3"/>
    <w:rsid w:val="00E50300"/>
    <w:rsid w:val="00E50345"/>
    <w:rsid w:val="00E52333"/>
    <w:rsid w:val="00E53278"/>
    <w:rsid w:val="00E5475E"/>
    <w:rsid w:val="00E56642"/>
    <w:rsid w:val="00E56C14"/>
    <w:rsid w:val="00E56D46"/>
    <w:rsid w:val="00E57703"/>
    <w:rsid w:val="00E57E7A"/>
    <w:rsid w:val="00E60D8D"/>
    <w:rsid w:val="00E63D0B"/>
    <w:rsid w:val="00E65585"/>
    <w:rsid w:val="00E671AE"/>
    <w:rsid w:val="00E67413"/>
    <w:rsid w:val="00E70A76"/>
    <w:rsid w:val="00E71691"/>
    <w:rsid w:val="00E720E2"/>
    <w:rsid w:val="00E7631D"/>
    <w:rsid w:val="00E764E9"/>
    <w:rsid w:val="00E7651D"/>
    <w:rsid w:val="00E77C52"/>
    <w:rsid w:val="00E77DDF"/>
    <w:rsid w:val="00E82229"/>
    <w:rsid w:val="00E82F54"/>
    <w:rsid w:val="00E83312"/>
    <w:rsid w:val="00E83618"/>
    <w:rsid w:val="00E87053"/>
    <w:rsid w:val="00E9089B"/>
    <w:rsid w:val="00E90AC4"/>
    <w:rsid w:val="00E91BDD"/>
    <w:rsid w:val="00E92FB9"/>
    <w:rsid w:val="00E95298"/>
    <w:rsid w:val="00E96C4A"/>
    <w:rsid w:val="00EA1C59"/>
    <w:rsid w:val="00EA322E"/>
    <w:rsid w:val="00EA37D2"/>
    <w:rsid w:val="00EA4535"/>
    <w:rsid w:val="00EA4E1C"/>
    <w:rsid w:val="00EA7993"/>
    <w:rsid w:val="00EB1604"/>
    <w:rsid w:val="00EB374B"/>
    <w:rsid w:val="00EB4384"/>
    <w:rsid w:val="00EB4947"/>
    <w:rsid w:val="00EB6F8F"/>
    <w:rsid w:val="00EC0E71"/>
    <w:rsid w:val="00EC2802"/>
    <w:rsid w:val="00EC4408"/>
    <w:rsid w:val="00EC452A"/>
    <w:rsid w:val="00EC54BC"/>
    <w:rsid w:val="00EC7424"/>
    <w:rsid w:val="00EC7B90"/>
    <w:rsid w:val="00ED0CDE"/>
    <w:rsid w:val="00ED1428"/>
    <w:rsid w:val="00ED27A4"/>
    <w:rsid w:val="00ED4302"/>
    <w:rsid w:val="00ED5EB4"/>
    <w:rsid w:val="00ED5F35"/>
    <w:rsid w:val="00EE116A"/>
    <w:rsid w:val="00EE3C0A"/>
    <w:rsid w:val="00EE5B05"/>
    <w:rsid w:val="00EE74B8"/>
    <w:rsid w:val="00EF1E63"/>
    <w:rsid w:val="00EF2816"/>
    <w:rsid w:val="00EF4333"/>
    <w:rsid w:val="00EF4952"/>
    <w:rsid w:val="00EF7464"/>
    <w:rsid w:val="00F00243"/>
    <w:rsid w:val="00F02847"/>
    <w:rsid w:val="00F045DC"/>
    <w:rsid w:val="00F04E03"/>
    <w:rsid w:val="00F075DD"/>
    <w:rsid w:val="00F0784E"/>
    <w:rsid w:val="00F11264"/>
    <w:rsid w:val="00F1127E"/>
    <w:rsid w:val="00F120D8"/>
    <w:rsid w:val="00F13AE2"/>
    <w:rsid w:val="00F13B8C"/>
    <w:rsid w:val="00F141A3"/>
    <w:rsid w:val="00F14764"/>
    <w:rsid w:val="00F148F0"/>
    <w:rsid w:val="00F151B4"/>
    <w:rsid w:val="00F16EDC"/>
    <w:rsid w:val="00F204D7"/>
    <w:rsid w:val="00F22E54"/>
    <w:rsid w:val="00F238B2"/>
    <w:rsid w:val="00F25F30"/>
    <w:rsid w:val="00F2662F"/>
    <w:rsid w:val="00F26BDA"/>
    <w:rsid w:val="00F30AFB"/>
    <w:rsid w:val="00F310D0"/>
    <w:rsid w:val="00F318B5"/>
    <w:rsid w:val="00F34A2F"/>
    <w:rsid w:val="00F35152"/>
    <w:rsid w:val="00F357D6"/>
    <w:rsid w:val="00F35CFD"/>
    <w:rsid w:val="00F36009"/>
    <w:rsid w:val="00F368E2"/>
    <w:rsid w:val="00F37061"/>
    <w:rsid w:val="00F375BD"/>
    <w:rsid w:val="00F40268"/>
    <w:rsid w:val="00F40367"/>
    <w:rsid w:val="00F404FB"/>
    <w:rsid w:val="00F408B5"/>
    <w:rsid w:val="00F41083"/>
    <w:rsid w:val="00F419B3"/>
    <w:rsid w:val="00F41B0C"/>
    <w:rsid w:val="00F42597"/>
    <w:rsid w:val="00F44E4C"/>
    <w:rsid w:val="00F466B0"/>
    <w:rsid w:val="00F47B3B"/>
    <w:rsid w:val="00F503D2"/>
    <w:rsid w:val="00F5280C"/>
    <w:rsid w:val="00F53BCE"/>
    <w:rsid w:val="00F53E7B"/>
    <w:rsid w:val="00F53F0E"/>
    <w:rsid w:val="00F542FD"/>
    <w:rsid w:val="00F543AF"/>
    <w:rsid w:val="00F55855"/>
    <w:rsid w:val="00F55F84"/>
    <w:rsid w:val="00F56FC6"/>
    <w:rsid w:val="00F57F05"/>
    <w:rsid w:val="00F63BA5"/>
    <w:rsid w:val="00F63CC6"/>
    <w:rsid w:val="00F648AB"/>
    <w:rsid w:val="00F64ED4"/>
    <w:rsid w:val="00F65601"/>
    <w:rsid w:val="00F65B11"/>
    <w:rsid w:val="00F66E7F"/>
    <w:rsid w:val="00F66FFF"/>
    <w:rsid w:val="00F71EC8"/>
    <w:rsid w:val="00F72C2E"/>
    <w:rsid w:val="00F73B6F"/>
    <w:rsid w:val="00F752AD"/>
    <w:rsid w:val="00F766FA"/>
    <w:rsid w:val="00F8004C"/>
    <w:rsid w:val="00F8140B"/>
    <w:rsid w:val="00F8200B"/>
    <w:rsid w:val="00F8299D"/>
    <w:rsid w:val="00F83D68"/>
    <w:rsid w:val="00F8446F"/>
    <w:rsid w:val="00F878BA"/>
    <w:rsid w:val="00F908B1"/>
    <w:rsid w:val="00F920E8"/>
    <w:rsid w:val="00F925BC"/>
    <w:rsid w:val="00F93CDB"/>
    <w:rsid w:val="00F94C55"/>
    <w:rsid w:val="00F95191"/>
    <w:rsid w:val="00F956C0"/>
    <w:rsid w:val="00F961F4"/>
    <w:rsid w:val="00F96237"/>
    <w:rsid w:val="00F96D9A"/>
    <w:rsid w:val="00F97DA6"/>
    <w:rsid w:val="00FA10C6"/>
    <w:rsid w:val="00FA37EE"/>
    <w:rsid w:val="00FA3A2E"/>
    <w:rsid w:val="00FA4ED4"/>
    <w:rsid w:val="00FA76B5"/>
    <w:rsid w:val="00FB16BF"/>
    <w:rsid w:val="00FB2071"/>
    <w:rsid w:val="00FB25D8"/>
    <w:rsid w:val="00FB2A0D"/>
    <w:rsid w:val="00FB3CD2"/>
    <w:rsid w:val="00FB7F1C"/>
    <w:rsid w:val="00FC1212"/>
    <w:rsid w:val="00FC6282"/>
    <w:rsid w:val="00FD101D"/>
    <w:rsid w:val="00FD1DFB"/>
    <w:rsid w:val="00FD2436"/>
    <w:rsid w:val="00FD245E"/>
    <w:rsid w:val="00FD4CEA"/>
    <w:rsid w:val="00FD5FB1"/>
    <w:rsid w:val="00FD7E2E"/>
    <w:rsid w:val="00FE02C2"/>
    <w:rsid w:val="00FE21AE"/>
    <w:rsid w:val="00FE3D5A"/>
    <w:rsid w:val="00FE4C1F"/>
    <w:rsid w:val="00FE529E"/>
    <w:rsid w:val="00FE598A"/>
    <w:rsid w:val="00FE7A51"/>
    <w:rsid w:val="00FE7D09"/>
    <w:rsid w:val="00FF0942"/>
    <w:rsid w:val="00FF0E45"/>
    <w:rsid w:val="00FF12A7"/>
    <w:rsid w:val="00FF17F8"/>
    <w:rsid w:val="00FF2386"/>
    <w:rsid w:val="00FF5B80"/>
    <w:rsid w:val="00FF6442"/>
    <w:rsid w:val="00FF753B"/>
    <w:rsid w:val="01B8C25A"/>
    <w:rsid w:val="01DB5512"/>
    <w:rsid w:val="01E4B39B"/>
    <w:rsid w:val="02BD113E"/>
    <w:rsid w:val="02E19749"/>
    <w:rsid w:val="03195B13"/>
    <w:rsid w:val="03A9C3A0"/>
    <w:rsid w:val="056DA294"/>
    <w:rsid w:val="059951C4"/>
    <w:rsid w:val="067A3C95"/>
    <w:rsid w:val="072488E3"/>
    <w:rsid w:val="0787369C"/>
    <w:rsid w:val="084A1BD6"/>
    <w:rsid w:val="08BF856D"/>
    <w:rsid w:val="0A153DCD"/>
    <w:rsid w:val="0ADA9BCE"/>
    <w:rsid w:val="0B5BB629"/>
    <w:rsid w:val="0BB353FB"/>
    <w:rsid w:val="0BE42E79"/>
    <w:rsid w:val="0E3C94AD"/>
    <w:rsid w:val="0F60FEBF"/>
    <w:rsid w:val="0F7053D8"/>
    <w:rsid w:val="10168074"/>
    <w:rsid w:val="11A361D1"/>
    <w:rsid w:val="11A3BA4A"/>
    <w:rsid w:val="11AF6AE7"/>
    <w:rsid w:val="12207DC2"/>
    <w:rsid w:val="13C99038"/>
    <w:rsid w:val="146F39BD"/>
    <w:rsid w:val="148EAD70"/>
    <w:rsid w:val="14B2F994"/>
    <w:rsid w:val="14FFC6BF"/>
    <w:rsid w:val="154870C5"/>
    <w:rsid w:val="15B7C028"/>
    <w:rsid w:val="160B7044"/>
    <w:rsid w:val="16AE7BC4"/>
    <w:rsid w:val="16DA8FBC"/>
    <w:rsid w:val="1726804A"/>
    <w:rsid w:val="175286D4"/>
    <w:rsid w:val="18D11928"/>
    <w:rsid w:val="1A73BA6D"/>
    <w:rsid w:val="1AE8058E"/>
    <w:rsid w:val="1B82796D"/>
    <w:rsid w:val="1BE07F82"/>
    <w:rsid w:val="1D5C01F7"/>
    <w:rsid w:val="1D760FF3"/>
    <w:rsid w:val="1DAF362E"/>
    <w:rsid w:val="1DCC6F32"/>
    <w:rsid w:val="1EDCDDF9"/>
    <w:rsid w:val="1F19DA92"/>
    <w:rsid w:val="1F8AFF19"/>
    <w:rsid w:val="1FAABBB2"/>
    <w:rsid w:val="206C4F6A"/>
    <w:rsid w:val="21A4793D"/>
    <w:rsid w:val="21FF10E7"/>
    <w:rsid w:val="2256C558"/>
    <w:rsid w:val="2279423C"/>
    <w:rsid w:val="2313E90F"/>
    <w:rsid w:val="23FD59E7"/>
    <w:rsid w:val="24CF5CDC"/>
    <w:rsid w:val="25ECB5CC"/>
    <w:rsid w:val="26C89501"/>
    <w:rsid w:val="26CAE776"/>
    <w:rsid w:val="275EDE5A"/>
    <w:rsid w:val="2770410B"/>
    <w:rsid w:val="2798FD33"/>
    <w:rsid w:val="28FFD86E"/>
    <w:rsid w:val="29164D0E"/>
    <w:rsid w:val="292CC1FC"/>
    <w:rsid w:val="294B0BAC"/>
    <w:rsid w:val="294DD4C5"/>
    <w:rsid w:val="29BE1D8F"/>
    <w:rsid w:val="2A8B1BC6"/>
    <w:rsid w:val="2BA3B7DF"/>
    <w:rsid w:val="2BF3ED25"/>
    <w:rsid w:val="2C87F99C"/>
    <w:rsid w:val="2CA890D4"/>
    <w:rsid w:val="2D13B863"/>
    <w:rsid w:val="2D1C2956"/>
    <w:rsid w:val="2D9CAB27"/>
    <w:rsid w:val="2DC6495E"/>
    <w:rsid w:val="2DD180E5"/>
    <w:rsid w:val="2E3959E5"/>
    <w:rsid w:val="2E57AF5D"/>
    <w:rsid w:val="30A2FE96"/>
    <w:rsid w:val="30ACACF2"/>
    <w:rsid w:val="30F36F3C"/>
    <w:rsid w:val="31242C52"/>
    <w:rsid w:val="312FDDCC"/>
    <w:rsid w:val="3146EF94"/>
    <w:rsid w:val="32417AA4"/>
    <w:rsid w:val="32510A44"/>
    <w:rsid w:val="328F6E0C"/>
    <w:rsid w:val="33D0AADC"/>
    <w:rsid w:val="33D8E345"/>
    <w:rsid w:val="347316A6"/>
    <w:rsid w:val="3570C950"/>
    <w:rsid w:val="362236F1"/>
    <w:rsid w:val="376B35A5"/>
    <w:rsid w:val="3797F09D"/>
    <w:rsid w:val="3807A05B"/>
    <w:rsid w:val="38139410"/>
    <w:rsid w:val="387819D9"/>
    <w:rsid w:val="38CA57A0"/>
    <w:rsid w:val="38DA70BD"/>
    <w:rsid w:val="398492B3"/>
    <w:rsid w:val="39A011BA"/>
    <w:rsid w:val="3B8BB396"/>
    <w:rsid w:val="3D75E715"/>
    <w:rsid w:val="3DC92D51"/>
    <w:rsid w:val="3E36BB8E"/>
    <w:rsid w:val="3E65DFE2"/>
    <w:rsid w:val="3E98A50A"/>
    <w:rsid w:val="3EBC81D4"/>
    <w:rsid w:val="40D7C608"/>
    <w:rsid w:val="423C24B3"/>
    <w:rsid w:val="435720DB"/>
    <w:rsid w:val="435C6722"/>
    <w:rsid w:val="44055C87"/>
    <w:rsid w:val="4414D900"/>
    <w:rsid w:val="445C938C"/>
    <w:rsid w:val="44FD9A8A"/>
    <w:rsid w:val="455E3B0D"/>
    <w:rsid w:val="46B5653E"/>
    <w:rsid w:val="47351D05"/>
    <w:rsid w:val="477E8F4E"/>
    <w:rsid w:val="47CE13BC"/>
    <w:rsid w:val="48855C98"/>
    <w:rsid w:val="49178FC5"/>
    <w:rsid w:val="495C6A7A"/>
    <w:rsid w:val="496023DE"/>
    <w:rsid w:val="498DDE9E"/>
    <w:rsid w:val="49C517EE"/>
    <w:rsid w:val="4A508CDC"/>
    <w:rsid w:val="4AFED72B"/>
    <w:rsid w:val="4B15D3E6"/>
    <w:rsid w:val="4D111BB7"/>
    <w:rsid w:val="4D9CDE85"/>
    <w:rsid w:val="4E0D2241"/>
    <w:rsid w:val="4E8745A2"/>
    <w:rsid w:val="5041B247"/>
    <w:rsid w:val="519DE47C"/>
    <w:rsid w:val="51E33374"/>
    <w:rsid w:val="524FFBF8"/>
    <w:rsid w:val="529DDDFF"/>
    <w:rsid w:val="544D88E6"/>
    <w:rsid w:val="54AEBB21"/>
    <w:rsid w:val="5622A194"/>
    <w:rsid w:val="57093E6A"/>
    <w:rsid w:val="57355900"/>
    <w:rsid w:val="57609B3E"/>
    <w:rsid w:val="577268EF"/>
    <w:rsid w:val="58338C10"/>
    <w:rsid w:val="584B1D90"/>
    <w:rsid w:val="584CFDFA"/>
    <w:rsid w:val="599793D6"/>
    <w:rsid w:val="5A4988B1"/>
    <w:rsid w:val="5AA915CA"/>
    <w:rsid w:val="5ACE3A03"/>
    <w:rsid w:val="5B39ACD7"/>
    <w:rsid w:val="5B86C149"/>
    <w:rsid w:val="5C02BD0F"/>
    <w:rsid w:val="5C295C9C"/>
    <w:rsid w:val="5C32C988"/>
    <w:rsid w:val="5C9EE0EC"/>
    <w:rsid w:val="5CC9B311"/>
    <w:rsid w:val="5DA9F2E8"/>
    <w:rsid w:val="5E921930"/>
    <w:rsid w:val="5E9C94FA"/>
    <w:rsid w:val="5F6A47CE"/>
    <w:rsid w:val="5F84C0D0"/>
    <w:rsid w:val="620B8B47"/>
    <w:rsid w:val="62735F62"/>
    <w:rsid w:val="62BC6859"/>
    <w:rsid w:val="63D778F0"/>
    <w:rsid w:val="63EF7BA1"/>
    <w:rsid w:val="651491AF"/>
    <w:rsid w:val="66828C30"/>
    <w:rsid w:val="66B8E2EF"/>
    <w:rsid w:val="674873FD"/>
    <w:rsid w:val="68166B85"/>
    <w:rsid w:val="695A8C89"/>
    <w:rsid w:val="69AE0EB5"/>
    <w:rsid w:val="69E89120"/>
    <w:rsid w:val="6C5DDA25"/>
    <w:rsid w:val="6D447FDB"/>
    <w:rsid w:val="6D92DEE3"/>
    <w:rsid w:val="6E0A2616"/>
    <w:rsid w:val="6E319096"/>
    <w:rsid w:val="6E45D140"/>
    <w:rsid w:val="6ED5238D"/>
    <w:rsid w:val="6EF2E39D"/>
    <w:rsid w:val="6F6AFAB4"/>
    <w:rsid w:val="6FA04FA2"/>
    <w:rsid w:val="6FA1EA25"/>
    <w:rsid w:val="6FBD9BBF"/>
    <w:rsid w:val="715D6AB4"/>
    <w:rsid w:val="71AD588A"/>
    <w:rsid w:val="72378DA2"/>
    <w:rsid w:val="72A2B277"/>
    <w:rsid w:val="73556F52"/>
    <w:rsid w:val="740B8C15"/>
    <w:rsid w:val="7449C964"/>
    <w:rsid w:val="74A2D1EF"/>
    <w:rsid w:val="75009911"/>
    <w:rsid w:val="762FAE56"/>
    <w:rsid w:val="77B30573"/>
    <w:rsid w:val="786098D2"/>
    <w:rsid w:val="78D9FAB5"/>
    <w:rsid w:val="79107A60"/>
    <w:rsid w:val="794D75DE"/>
    <w:rsid w:val="798BC07E"/>
    <w:rsid w:val="79D872AD"/>
    <w:rsid w:val="79E70CC1"/>
    <w:rsid w:val="7ACD8C4C"/>
    <w:rsid w:val="7B374A6D"/>
    <w:rsid w:val="7B5EE694"/>
    <w:rsid w:val="7B6FE6E8"/>
    <w:rsid w:val="7BE7B32B"/>
    <w:rsid w:val="7BF74C34"/>
    <w:rsid w:val="7CA69F00"/>
    <w:rsid w:val="7EAB55FA"/>
    <w:rsid w:val="7EEFF1E1"/>
    <w:rsid w:val="7EFDBC64"/>
    <w:rsid w:val="7F50CA52"/>
    <w:rsid w:val="7F861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C617"/>
  <w15:chartTrackingRefBased/>
  <w15:docId w15:val="{2252ADEB-B485-4B38-A119-9DD8F814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79BB"/>
    <w:pPr>
      <w:tabs>
        <w:tab w:val="center" w:pos="4680"/>
        <w:tab w:val="right" w:pos="936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1979BB"/>
    <w:rPr>
      <w:rFonts w:ascii="Times New Roman" w:eastAsia="Times New Roman" w:hAnsi="Times New Roman"/>
    </w:rPr>
  </w:style>
  <w:style w:type="character" w:styleId="PageNumber">
    <w:name w:val="page number"/>
    <w:rsid w:val="001979BB"/>
  </w:style>
  <w:style w:type="paragraph" w:styleId="BalloonText">
    <w:name w:val="Balloon Text"/>
    <w:basedOn w:val="Normal"/>
    <w:link w:val="BalloonTextChar"/>
    <w:uiPriority w:val="99"/>
    <w:semiHidden/>
    <w:unhideWhenUsed/>
    <w:rsid w:val="00886A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86A41"/>
    <w:rPr>
      <w:rFonts w:ascii="Tahoma" w:hAnsi="Tahoma" w:cs="Tahoma"/>
      <w:sz w:val="16"/>
      <w:szCs w:val="16"/>
    </w:rPr>
  </w:style>
  <w:style w:type="paragraph" w:styleId="Header">
    <w:name w:val="header"/>
    <w:basedOn w:val="Normal"/>
    <w:link w:val="HeaderChar"/>
    <w:uiPriority w:val="99"/>
    <w:unhideWhenUsed/>
    <w:rsid w:val="00886A41"/>
    <w:pPr>
      <w:tabs>
        <w:tab w:val="center" w:pos="4680"/>
        <w:tab w:val="right" w:pos="9360"/>
      </w:tabs>
    </w:pPr>
  </w:style>
  <w:style w:type="character" w:customStyle="1" w:styleId="HeaderChar">
    <w:name w:val="Header Char"/>
    <w:link w:val="Header"/>
    <w:uiPriority w:val="99"/>
    <w:rsid w:val="00886A41"/>
    <w:rPr>
      <w:sz w:val="22"/>
      <w:szCs w:val="22"/>
    </w:rPr>
  </w:style>
  <w:style w:type="character" w:styleId="CommentReference">
    <w:name w:val="annotation reference"/>
    <w:uiPriority w:val="99"/>
    <w:semiHidden/>
    <w:unhideWhenUsed/>
    <w:rsid w:val="00886A41"/>
    <w:rPr>
      <w:sz w:val="16"/>
      <w:szCs w:val="16"/>
    </w:rPr>
  </w:style>
  <w:style w:type="paragraph" w:styleId="CommentText">
    <w:name w:val="annotation text"/>
    <w:basedOn w:val="Normal"/>
    <w:link w:val="CommentTextChar"/>
    <w:uiPriority w:val="99"/>
    <w:unhideWhenUsed/>
    <w:rsid w:val="00E418D0"/>
    <w:rPr>
      <w:sz w:val="20"/>
      <w:szCs w:val="20"/>
    </w:rPr>
  </w:style>
  <w:style w:type="character" w:customStyle="1" w:styleId="CommentTextChar">
    <w:name w:val="Comment Text Char"/>
    <w:basedOn w:val="DefaultParagraphFont"/>
    <w:link w:val="CommentText"/>
    <w:uiPriority w:val="99"/>
    <w:rsid w:val="00886A41"/>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link w:val="CommentSubject"/>
    <w:uiPriority w:val="99"/>
    <w:semiHidden/>
    <w:rsid w:val="00886A41"/>
    <w:rPr>
      <w:b/>
      <w:bCs/>
    </w:rPr>
  </w:style>
  <w:style w:type="character" w:styleId="Hyperlink">
    <w:name w:val="Hyperlink"/>
    <w:uiPriority w:val="99"/>
    <w:unhideWhenUsed/>
    <w:rsid w:val="00910342"/>
    <w:rPr>
      <w:color w:val="0000FF"/>
      <w:u w:val="single"/>
    </w:rPr>
  </w:style>
  <w:style w:type="character" w:styleId="FollowedHyperlink">
    <w:name w:val="FollowedHyperlink"/>
    <w:uiPriority w:val="99"/>
    <w:semiHidden/>
    <w:unhideWhenUsed/>
    <w:rsid w:val="00910342"/>
    <w:rPr>
      <w:color w:val="800080"/>
      <w:u w:val="single"/>
    </w:rPr>
  </w:style>
  <w:style w:type="paragraph" w:styleId="NormalWeb">
    <w:name w:val="Normal (Web)"/>
    <w:basedOn w:val="Normal"/>
    <w:uiPriority w:val="99"/>
    <w:unhideWhenUsed/>
    <w:rsid w:val="00E418D0"/>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F40367"/>
    <w:rPr>
      <w:sz w:val="22"/>
      <w:szCs w:val="22"/>
    </w:rPr>
  </w:style>
  <w:style w:type="character" w:styleId="UnresolvedMention">
    <w:name w:val="Unresolved Mention"/>
    <w:uiPriority w:val="99"/>
    <w:semiHidden/>
    <w:unhideWhenUsed/>
    <w:rsid w:val="005A7313"/>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CF4E14"/>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CF4E14"/>
  </w:style>
  <w:style w:type="character" w:customStyle="1" w:styleId="eop">
    <w:name w:val="eop"/>
    <w:basedOn w:val="DefaultParagraphFont"/>
    <w:rsid w:val="00CF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51898">
      <w:bodyDiv w:val="1"/>
      <w:marLeft w:val="0"/>
      <w:marRight w:val="0"/>
      <w:marTop w:val="0"/>
      <w:marBottom w:val="0"/>
      <w:divBdr>
        <w:top w:val="none" w:sz="0" w:space="0" w:color="auto"/>
        <w:left w:val="none" w:sz="0" w:space="0" w:color="auto"/>
        <w:bottom w:val="none" w:sz="0" w:space="0" w:color="auto"/>
        <w:right w:val="none" w:sz="0" w:space="0" w:color="auto"/>
      </w:divBdr>
      <w:divsChild>
        <w:div w:id="1082146007">
          <w:marLeft w:val="0"/>
          <w:marRight w:val="0"/>
          <w:marTop w:val="0"/>
          <w:marBottom w:val="0"/>
          <w:divBdr>
            <w:top w:val="none" w:sz="0" w:space="0" w:color="auto"/>
            <w:left w:val="none" w:sz="0" w:space="0" w:color="auto"/>
            <w:bottom w:val="none" w:sz="0" w:space="0" w:color="auto"/>
            <w:right w:val="none" w:sz="0" w:space="0" w:color="auto"/>
          </w:divBdr>
        </w:div>
        <w:div w:id="1582593617">
          <w:marLeft w:val="0"/>
          <w:marRight w:val="0"/>
          <w:marTop w:val="0"/>
          <w:marBottom w:val="0"/>
          <w:divBdr>
            <w:top w:val="none" w:sz="0" w:space="0" w:color="auto"/>
            <w:left w:val="none" w:sz="0" w:space="0" w:color="auto"/>
            <w:bottom w:val="none" w:sz="0" w:space="0" w:color="auto"/>
            <w:right w:val="none" w:sz="0" w:space="0" w:color="auto"/>
          </w:divBdr>
        </w:div>
        <w:div w:id="1931503561">
          <w:marLeft w:val="0"/>
          <w:marRight w:val="0"/>
          <w:marTop w:val="0"/>
          <w:marBottom w:val="0"/>
          <w:divBdr>
            <w:top w:val="none" w:sz="0" w:space="0" w:color="auto"/>
            <w:left w:val="none" w:sz="0" w:space="0" w:color="auto"/>
            <w:bottom w:val="none" w:sz="0" w:space="0" w:color="auto"/>
            <w:right w:val="none" w:sz="0" w:space="0" w:color="auto"/>
          </w:divBdr>
        </w:div>
      </w:divsChild>
    </w:div>
    <w:div w:id="1632245179">
      <w:bodyDiv w:val="1"/>
      <w:marLeft w:val="0"/>
      <w:marRight w:val="0"/>
      <w:marTop w:val="0"/>
      <w:marBottom w:val="0"/>
      <w:divBdr>
        <w:top w:val="none" w:sz="0" w:space="0" w:color="auto"/>
        <w:left w:val="none" w:sz="0" w:space="0" w:color="auto"/>
        <w:bottom w:val="none" w:sz="0" w:space="0" w:color="auto"/>
        <w:right w:val="none" w:sz="0" w:space="0" w:color="auto"/>
      </w:divBdr>
      <w:divsChild>
        <w:div w:id="245656742">
          <w:marLeft w:val="0"/>
          <w:marRight w:val="0"/>
          <w:marTop w:val="0"/>
          <w:marBottom w:val="0"/>
          <w:divBdr>
            <w:top w:val="none" w:sz="0" w:space="0" w:color="auto"/>
            <w:left w:val="none" w:sz="0" w:space="0" w:color="auto"/>
            <w:bottom w:val="none" w:sz="0" w:space="0" w:color="auto"/>
            <w:right w:val="none" w:sz="0" w:space="0" w:color="auto"/>
          </w:divBdr>
        </w:div>
        <w:div w:id="1844733669">
          <w:marLeft w:val="0"/>
          <w:marRight w:val="0"/>
          <w:marTop w:val="0"/>
          <w:marBottom w:val="0"/>
          <w:divBdr>
            <w:top w:val="none" w:sz="0" w:space="0" w:color="auto"/>
            <w:left w:val="none" w:sz="0" w:space="0" w:color="auto"/>
            <w:bottom w:val="none" w:sz="0" w:space="0" w:color="auto"/>
            <w:right w:val="none" w:sz="0" w:space="0" w:color="auto"/>
          </w:divBdr>
        </w:div>
        <w:div w:id="1850174375">
          <w:marLeft w:val="0"/>
          <w:marRight w:val="0"/>
          <w:marTop w:val="0"/>
          <w:marBottom w:val="0"/>
          <w:divBdr>
            <w:top w:val="none" w:sz="0" w:space="0" w:color="auto"/>
            <w:left w:val="none" w:sz="0" w:space="0" w:color="auto"/>
            <w:bottom w:val="none" w:sz="0" w:space="0" w:color="auto"/>
            <w:right w:val="none" w:sz="0" w:space="0" w:color="auto"/>
          </w:divBdr>
        </w:div>
        <w:div w:id="1880504907">
          <w:marLeft w:val="0"/>
          <w:marRight w:val="0"/>
          <w:marTop w:val="0"/>
          <w:marBottom w:val="0"/>
          <w:divBdr>
            <w:top w:val="none" w:sz="0" w:space="0" w:color="auto"/>
            <w:left w:val="none" w:sz="0" w:space="0" w:color="auto"/>
            <w:bottom w:val="none" w:sz="0" w:space="0" w:color="auto"/>
            <w:right w:val="none" w:sz="0" w:space="0" w:color="auto"/>
          </w:divBdr>
        </w:div>
      </w:divsChild>
    </w:div>
    <w:div w:id="21175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r-rec.gc.ca/fr/demandes-audiences/deposer-demande-documents/guides-depot/guide-depot/index.html" TargetMode="External"/><Relationship Id="rId18" Type="http://schemas.openxmlformats.org/officeDocument/2006/relationships/hyperlink" Target="https://www.cer-rec.gc.ca/fr/demandes-audiences/deposer-demande-documents/guides-depot/guide-depot/guide-depot-chapitre-3-information-commune-toutes-demandes.html" TargetMode="External"/><Relationship Id="rId26" Type="http://schemas.openxmlformats.org/officeDocument/2006/relationships/hyperlink" Target="https://www.cer-rec.gc.ca/fr/demandes-audiences/deposer-demande-documents/guides-depot/guide-depot/guide-depot-rubrique-p-droits-tarifs-art-225-240-lrce.html" TargetMode="External"/><Relationship Id="rId3" Type="http://schemas.openxmlformats.org/officeDocument/2006/relationships/customXml" Target="../customXml/item3.xml"/><Relationship Id="rId21" Type="http://schemas.openxmlformats.org/officeDocument/2006/relationships/hyperlink" Target="https://www.cer-rec.gc.ca/fr/demandes-audiences/deposer-demande-documents/guides-depot/guide-depot/guide-depot-chapitre-3-information-commune-toutes-demandes.html"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er-rec.gc.ca/fr/demandes-audiences/deposer-demande-documents/depot-vertu-loi-regie-canadienne-lenergie-reglement-loffice-national-lenergie-pipelines-terrestres.html" TargetMode="External"/><Relationship Id="rId17" Type="http://schemas.openxmlformats.org/officeDocument/2006/relationships/hyperlink" Target="mailto:reglementation.financiere@cer-rec.gc.ca" TargetMode="External"/><Relationship Id="rId25" Type="http://schemas.openxmlformats.org/officeDocument/2006/relationships/hyperlink" Target="https://www.cer-rec.gc.ca/fr/demandes-audiences/deposer-demande-documents/guides-depot/guide-depot/guide-depot-chapitre-3-information-commune-toutes-demandes.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glementation.financiere@cer-rec.gc.ca" TargetMode="External"/><Relationship Id="rId20" Type="http://schemas.openxmlformats.org/officeDocument/2006/relationships/hyperlink" Target="http://www.neb-one.gc.ca/clf-nsi/rpblctn/ctsndrgltn/flngmnl/fmchptr3-eng.html" TargetMode="External"/><Relationship Id="rId29" Type="http://schemas.openxmlformats.org/officeDocument/2006/relationships/hyperlink" Target="https://www.cer-rec.gc.ca/fr/regie/comment-nous-reglementons/orientation/lrce/lignes-directrices-concernant-obligations-financieres-relatives-pipelines/2024/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c-cer.gc.ca/fr/demandes-audiences/document-reglementation/guide-fra.pdf" TargetMode="External"/><Relationship Id="rId24" Type="http://schemas.openxmlformats.org/officeDocument/2006/relationships/hyperlink" Target="https://www.cer-rec.gc.ca/fr/demandes-audiences/deposer-demande-documents/guides-depot/guide-depot/guide-depot-chapitre-3-information-commune-toutes-demandes.html" TargetMode="External"/><Relationship Id="rId32" Type="http://schemas.openxmlformats.org/officeDocument/2006/relationships/hyperlink" Target="https://www.cer-rec.gc.ca/fr/demandes-audiences/deposer-demande-documents/guides-depot/guide-depot/guide-depot-rubrique-t-autorisation-mise-en-service-art-213-lrce.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er-rec.gc.ca/fr/demandes-audiences/deposer-demande-documents/guides-depot/guide-depot/guide-depot-rubrique-r-transfert-propriete-cession-prise-bail-fusion-art-181-lrce.html" TargetMode="External"/><Relationship Id="rId23" Type="http://schemas.openxmlformats.org/officeDocument/2006/relationships/hyperlink" Target="https://www.cer-rec.gc.ca/fr/demandes-audiences/deposer-demande-documents/guides-depot/guide-depot/guide-depot-chapitre-1-introduction.html" TargetMode="External"/><Relationship Id="rId28" Type="http://schemas.openxmlformats.org/officeDocument/2006/relationships/hyperlink" Target="https://www.cer-rec.gc.ca/fr/demandes-audiences/cessation-dexploitation-pipelines/index.html"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er-rec.gc.ca/fr/demandes-audiences/deposer-demande-documents/guides-depot/guide-depot/guide-depot-chapitre-3-information-commune-toutes-demandes.html" TargetMode="External"/><Relationship Id="rId31" Type="http://schemas.openxmlformats.org/officeDocument/2006/relationships/hyperlink" Target="https://www.cer-rec.gc.ca/fr/demandes-audiences/deposer-demande-documents/guides-depot/guide-depot/guide-depot-rubrique-a-demandes-visant-installa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r-rec.gc.ca/fr/demandes-audiences/deposer-demande-documents/guides-depot/guide-depot/guide-depot-chapitre-3-information-commune-toutes-demandes.html" TargetMode="External"/><Relationship Id="rId22" Type="http://schemas.openxmlformats.org/officeDocument/2006/relationships/hyperlink" Target="https://www.cer-rec.gc.ca/fr/demandes-audiences/deposer-demande-documents/guides-depot/guide-depot/guide-depot-chapitre-3-information-commune-toutes-demandes.html" TargetMode="External"/><Relationship Id="rId27" Type="http://schemas.openxmlformats.org/officeDocument/2006/relationships/hyperlink" Target="https://www.cer-rec.gc.ca/fr/demandes-audiences/deposer-demande-documents/guides-depot/guide-depot/guide-depot-rubrique-a-demandes-ayant-trait-installations-a3.html" TargetMode="External"/><Relationship Id="rId30" Type="http://schemas.openxmlformats.org/officeDocument/2006/relationships/hyperlink" Target="https://www.cer-rec.gc.ca/fr/demandes-audiences/deposer-demande-documents/guides-depot/guide-depot/guide-depot-rubrique-a-demandes-ayant-trait-installations-a3.html%23sa_3_4_02_3"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7daddc-9773-465e-bfe8-9d5b1d75a8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4617BA407F9443AEA2A3C7650BA174" ma:contentTypeVersion="14" ma:contentTypeDescription="Create a new document." ma:contentTypeScope="" ma:versionID="eebc9c7f88cd62ef5014f1e6182703b5">
  <xsd:schema xmlns:xsd="http://www.w3.org/2001/XMLSchema" xmlns:xs="http://www.w3.org/2001/XMLSchema" xmlns:p="http://schemas.microsoft.com/office/2006/metadata/properties" xmlns:ns3="b97daddc-9773-465e-bfe8-9d5b1d75a873" xmlns:ns4="734d686b-e4b2-4558-90c6-bcc632370d03" targetNamespace="http://schemas.microsoft.com/office/2006/metadata/properties" ma:root="true" ma:fieldsID="b76d1d70f409627828ce950cae4a4411" ns3:_="" ns4:_="">
    <xsd:import namespace="b97daddc-9773-465e-bfe8-9d5b1d75a873"/>
    <xsd:import namespace="734d686b-e4b2-4558-90c6-bcc632370d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daddc-9773-465e-bfe8-9d5b1d75a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4d686b-e4b2-4558-90c6-bcc632370d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0FA5-5A3F-487B-B082-458D2D5C1F81}">
  <ds:schemaRefs>
    <ds:schemaRef ds:uri="http://purl.org/dc/terms/"/>
    <ds:schemaRef ds:uri="http://schemas.openxmlformats.org/package/2006/metadata/core-properties"/>
    <ds:schemaRef ds:uri="http://purl.org/dc/dcmitype/"/>
    <ds:schemaRef ds:uri="http://schemas.microsoft.com/office/infopath/2007/PartnerControls"/>
    <ds:schemaRef ds:uri="734d686b-e4b2-4558-90c6-bcc632370d03"/>
    <ds:schemaRef ds:uri="http://purl.org/dc/elements/1.1/"/>
    <ds:schemaRef ds:uri="http://schemas.microsoft.com/office/2006/documentManagement/types"/>
    <ds:schemaRef ds:uri="b97daddc-9773-465e-bfe8-9d5b1d75a87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89EBFC-47C0-4B05-8B4E-760C05A2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daddc-9773-465e-bfe8-9d5b1d75a873"/>
    <ds:schemaRef ds:uri="734d686b-e4b2-4558-90c6-bcc632370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EE10C-C012-4A3E-A0D0-B28041E7733F}">
  <ds:schemaRefs>
    <ds:schemaRef ds:uri="http://schemas.microsoft.com/sharepoint/v3/contenttype/forms"/>
  </ds:schemaRefs>
</ds:datastoreItem>
</file>

<file path=customXml/itemProps4.xml><?xml version="1.0" encoding="utf-8"?>
<ds:datastoreItem xmlns:ds="http://schemas.openxmlformats.org/officeDocument/2006/customXml" ds:itemID="{785FA3D0-645B-4774-B384-942EC7E3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Change in Ownership Application Pursuant to Section 74(1)(a) through (c) and Section 21 of the National Energy Board Act</vt:lpstr>
    </vt:vector>
  </TitlesOfParts>
  <Company>National Energy Board</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transfert de propriété, de cession ou prise à bail ou de fusion</dc:title>
  <dc:subject>Change in Ownership Application Pursuant to Section 74(1)(a) through (c) and Section 21 of the National Energy Board Act</dc:subject>
  <dc:creator>Régie de l’énergie du Canada</dc:creator>
  <cp:keywords/>
  <cp:lastModifiedBy>Rob Steedman</cp:lastModifiedBy>
  <cp:revision>9</cp:revision>
  <cp:lastPrinted>2015-01-22T18:04:00Z</cp:lastPrinted>
  <dcterms:created xsi:type="dcterms:W3CDTF">2025-10-26T17:56:00Z</dcterms:created>
  <dcterms:modified xsi:type="dcterms:W3CDTF">2025-11-02T17:05:00Z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0x0101004C4617BA407F9443AEA2A3C7650BA174</vt:lpwstr>
  </property>
</Properties>
</file>